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房屋建筑（含装饰装修）工程质量监督检查第三方服务</w:t>
      </w:r>
    </w:p>
    <w:p>
      <w:pPr>
        <w:pStyle w:val="null3"/>
        <w:jc w:val="center"/>
        <w:outlineLvl w:val="2"/>
      </w:pPr>
      <w:r>
        <w:rPr>
          <w:b/>
          <w:sz w:val="28"/>
        </w:rPr>
        <w:t>采购项目编号：</w:t>
      </w:r>
      <w:r>
        <w:rPr>
          <w:b/>
          <w:sz w:val="28"/>
        </w:rPr>
        <w:t>ZSHZB-2024-005</w:t>
      </w:r>
      <w:r>
        <w:br/>
      </w:r>
      <w:r>
        <w:br/>
      </w:r>
      <w:r>
        <w:br/>
      </w:r>
    </w:p>
    <w:p>
      <w:pPr>
        <w:pStyle w:val="null3"/>
        <w:jc w:val="center"/>
        <w:outlineLvl w:val="2"/>
      </w:pPr>
      <w:r>
        <w:rPr>
          <w:b/>
          <w:sz w:val="28"/>
        </w:rPr>
        <w:t>西安市雁塔区住房和城乡建设局</w:t>
      </w:r>
    </w:p>
    <w:p>
      <w:pPr>
        <w:pStyle w:val="null3"/>
        <w:jc w:val="center"/>
        <w:outlineLvl w:val="2"/>
      </w:pPr>
      <w:r>
        <w:rPr>
          <w:b/>
          <w:sz w:val="28"/>
        </w:rPr>
        <w:t>陕西中盛禾项目咨询有限公司</w:t>
      </w:r>
      <w:r>
        <w:rPr>
          <w:b/>
          <w:sz w:val="28"/>
        </w:rPr>
        <w:t>共同编制</w:t>
      </w:r>
    </w:p>
    <w:p>
      <w:pPr>
        <w:pStyle w:val="null3"/>
        <w:jc w:val="center"/>
        <w:outlineLvl w:val="2"/>
      </w:pPr>
      <w:r>
        <w:rPr>
          <w:b/>
          <w:sz w:val="28"/>
        </w:rPr>
        <w:t>2024年04月22日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陕西中盛禾项目咨询有限公司</w:t>
      </w:r>
      <w:r>
        <w:rPr/>
        <w:t>（以下简称“代理机构”）受</w:t>
      </w:r>
      <w:r>
        <w:rPr/>
        <w:t>西安市雁塔区住房和城乡建设局</w:t>
      </w:r>
      <w:r>
        <w:rPr/>
        <w:t>委托，拟对</w:t>
      </w:r>
      <w:r>
        <w:rPr/>
        <w:t>房屋建筑（含装饰装修）工程质量监督检查第三方服务</w:t>
      </w:r>
      <w:r>
        <w:rPr/>
        <w:t>采用竞争性磋商采购方式进行采购，兹邀请供应商参加本项目的竞争性磋商。</w:t>
      </w:r>
    </w:p>
    <w:p>
      <w:pPr>
        <w:pStyle w:val="null3"/>
        <w:outlineLvl w:val="2"/>
      </w:pPr>
      <w:r>
        <w:rPr>
          <w:b/>
          <w:sz w:val="28"/>
        </w:rPr>
        <w:t>一、项目编号：</w:t>
      </w:r>
      <w:r>
        <w:rPr>
          <w:b/>
          <w:sz w:val="28"/>
        </w:rPr>
        <w:t>ZSHZB-2024-005</w:t>
      </w:r>
    </w:p>
    <w:p>
      <w:pPr>
        <w:pStyle w:val="null3"/>
        <w:outlineLvl w:val="2"/>
      </w:pPr>
      <w:r>
        <w:rPr>
          <w:b/>
          <w:sz w:val="28"/>
        </w:rPr>
        <w:t>二、项目名称：</w:t>
      </w:r>
      <w:r>
        <w:rPr>
          <w:b/>
          <w:sz w:val="28"/>
        </w:rPr>
        <w:t>房屋建筑（含装饰装修）工程质量监督检查第三方服务</w:t>
      </w:r>
    </w:p>
    <w:p>
      <w:pPr>
        <w:pStyle w:val="null3"/>
        <w:outlineLvl w:val="2"/>
      </w:pPr>
      <w:r>
        <w:rPr>
          <w:b/>
          <w:sz w:val="28"/>
        </w:rPr>
        <w:t>三、磋商项目简介</w:t>
      </w:r>
    </w:p>
    <w:p>
      <w:pPr>
        <w:pStyle w:val="null3"/>
        <w:ind w:firstLine="480"/>
      </w:pPr>
      <w:r>
        <w:rPr/>
        <w:t>对辖区内的房屋建筑（含装饰装修）工程质量监督检查提供第三方技术服务，具体服务区域以采购人指定的区域为准。</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1、法定代表人授权书（附法定代表人身份证复印件）及被授权人身份证：法定代表人授权书（附法定代表人身份证复印件）及被授权人身份证；（法定代表人直接参加磋商只须提供法定代表人身份证）；</w:t>
      </w:r>
    </w:p>
    <w:p>
      <w:pPr>
        <w:pStyle w:val="null3"/>
      </w:pPr>
      <w:r>
        <w:rPr/>
        <w:t>2、供应商资格：供应商提供建设行政主管部门颁发的工程监理综合资质或具备房屋建筑工程监理乙级及以上资质；</w:t>
      </w:r>
    </w:p>
    <w:p>
      <w:pPr>
        <w:pStyle w:val="null3"/>
      </w:pPr>
      <w:r>
        <w:rPr/>
        <w:t>3、项目负责人资格：项目负责人具有注册监理工程师执业资格。</w:t>
      </w:r>
    </w:p>
    <w:p>
      <w:pPr>
        <w:pStyle w:val="null3"/>
      </w:pPr>
      <w:r>
        <w:rPr/>
        <w:t>采购包2：</w:t>
      </w:r>
    </w:p>
    <w:p>
      <w:pPr>
        <w:pStyle w:val="null3"/>
      </w:pPr>
      <w:r>
        <w:rPr/>
        <w:t>1、法定代表人授权书（附法定代表人身份证复印件）及被授权人身份证：法定代表人授权书（附法定代表人身份证复印件）及被授权人身份证；（法定代表人直接参加磋商只须提供法定代表人身份证）；</w:t>
      </w:r>
    </w:p>
    <w:p>
      <w:pPr>
        <w:pStyle w:val="null3"/>
      </w:pPr>
      <w:r>
        <w:rPr/>
        <w:t>2、供应商资格：供应商提供建设行政主管部门颁发的工程监理综合资质或具备房屋建筑工程监理乙级及以上资质；</w:t>
      </w:r>
    </w:p>
    <w:p>
      <w:pPr>
        <w:pStyle w:val="null3"/>
      </w:pPr>
      <w:r>
        <w:rPr/>
        <w:t>3、项目负责人资格：项目负责人具有注册监理工程师执业资格。</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西安市雁塔区住房和城乡建设局</w:t>
      </w:r>
    </w:p>
    <w:p>
      <w:pPr>
        <w:pStyle w:val="null3"/>
      </w:pPr>
      <w:r>
        <w:rPr/>
        <w:t xml:space="preserve"> 地址： </w:t>
      </w:r>
      <w:r>
        <w:rPr/>
        <w:t>西安市翠华路146号</w:t>
      </w:r>
    </w:p>
    <w:p>
      <w:pPr>
        <w:pStyle w:val="null3"/>
      </w:pPr>
      <w:r>
        <w:rPr/>
        <w:t xml:space="preserve"> 邮编： </w:t>
      </w:r>
      <w:r>
        <w:rPr/>
        <w:t>710061</w:t>
      </w:r>
    </w:p>
    <w:p>
      <w:pPr>
        <w:pStyle w:val="null3"/>
      </w:pPr>
      <w:r>
        <w:rPr/>
        <w:t xml:space="preserve"> 联系人： </w:t>
      </w:r>
      <w:r>
        <w:rPr/>
        <w:t>夏工</w:t>
      </w:r>
    </w:p>
    <w:p>
      <w:pPr>
        <w:pStyle w:val="null3"/>
      </w:pPr>
      <w:r>
        <w:rPr/>
        <w:t xml:space="preserve"> 联系电话： </w:t>
      </w:r>
      <w:r>
        <w:rPr/>
        <w:t>029-83692930</w:t>
      </w:r>
    </w:p>
    <w:p>
      <w:pPr>
        <w:pStyle w:val="null3"/>
        <w:outlineLvl w:val="3"/>
      </w:pPr>
      <w:r>
        <w:rPr>
          <w:b/>
          <w:sz w:val="24"/>
        </w:rPr>
        <w:t>代理机构：</w:t>
      </w:r>
      <w:r>
        <w:rPr>
          <w:b/>
          <w:sz w:val="24"/>
        </w:rPr>
        <w:t>陕西中盛禾项目咨询有限公司</w:t>
      </w:r>
    </w:p>
    <w:p>
      <w:pPr>
        <w:pStyle w:val="null3"/>
      </w:pPr>
      <w:r>
        <w:rPr/>
        <w:t xml:space="preserve"> 地址： </w:t>
      </w:r>
      <w:r>
        <w:rPr/>
        <w:t>西安市雁塔区太白南路上上国际2210室</w:t>
      </w:r>
    </w:p>
    <w:p>
      <w:pPr>
        <w:pStyle w:val="null3"/>
      </w:pPr>
      <w:r>
        <w:rPr/>
        <w:t xml:space="preserve"> 邮编： </w:t>
      </w:r>
      <w:r>
        <w:rPr/>
        <w:t>710065</w:t>
      </w:r>
    </w:p>
    <w:p>
      <w:pPr>
        <w:pStyle w:val="null3"/>
      </w:pPr>
      <w:r>
        <w:rPr/>
        <w:t xml:space="preserve"> 联系人： </w:t>
      </w:r>
      <w:r>
        <w:rPr/>
        <w:t>马菲</w:t>
      </w:r>
    </w:p>
    <w:p>
      <w:pPr>
        <w:pStyle w:val="null3"/>
      </w:pPr>
      <w:r>
        <w:rPr/>
        <w:t xml:space="preserve"> 联系电话： </w:t>
      </w:r>
      <w:r>
        <w:rPr/>
        <w:t>13669241913</w:t>
      </w:r>
    </w:p>
    <w:p>
      <w:pPr>
        <w:pStyle w:val="null3"/>
        <w:outlineLvl w:val="3"/>
      </w:pPr>
      <w:r>
        <w:rPr>
          <w:b/>
          <w:sz w:val="24"/>
        </w:rPr>
        <w:t>采购监督机构：</w:t>
      </w:r>
      <w:r>
        <w:rPr>
          <w:b/>
          <w:sz w:val="24"/>
        </w:rPr>
        <w:t>西安市雁塔区政府采购管理股</w:t>
      </w:r>
    </w:p>
    <w:p>
      <w:pPr>
        <w:pStyle w:val="null3"/>
        <w:ind w:firstLine="480"/>
      </w:pPr>
      <w:r>
        <w:rPr/>
        <w:t>联系人：</w:t>
      </w:r>
      <w:r>
        <w:rPr/>
        <w:t>王佳</w:t>
      </w:r>
    </w:p>
    <w:p>
      <w:pPr>
        <w:pStyle w:val="null3"/>
        <w:ind w:firstLine="480"/>
      </w:pPr>
      <w:r>
        <w:rPr/>
        <w:t>联系电话：</w:t>
      </w:r>
      <w:r>
        <w:rPr/>
        <w:t>85241676</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采购包1：800,000.00元</w:t>
            </w:r>
          </w:p>
          <w:p>
            <w:pPr>
              <w:pStyle w:val="null3"/>
            </w:pPr>
            <w:r>
              <w:rPr/>
              <w:t>采购包2：800,000.00元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代理服务费收费标准：参照国家计委计价格[2002]1980号及发改办价格[2003]857号通知规定收取，不满5000按5000计取。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西安市雁塔区住房和城乡建设局</w:t>
      </w:r>
      <w:r>
        <w:rPr/>
        <w:t>和</w:t>
      </w:r>
      <w:r>
        <w:rPr/>
        <w:t>陕西中盛禾项目咨询有限公司</w:t>
      </w:r>
      <w:r>
        <w:rPr/>
        <w:t>享有。对磋商文件中供应商参加本次政府采购活动应当具备的条件，磋商项目技术、服务、商务及其他要求，评审细则及标准由</w:t>
      </w:r>
      <w:r>
        <w:rPr/>
        <w:t>西安市雁塔区住房和城乡建设局</w:t>
      </w:r>
      <w:r>
        <w:rPr/>
        <w:t>负责解释。除上述磋商文件内容，其他内容由</w:t>
      </w:r>
      <w:r>
        <w:rPr/>
        <w:t>陕西中盛禾项目咨询有限公司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西安市雁塔区住房和城乡建设局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陕西中盛禾项目咨询有限公司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满足现行国家相关标准、行业标准及采购人要求。</w:t>
      </w:r>
    </w:p>
    <w:p>
      <w:pPr>
        <w:pStyle w:val="null3"/>
      </w:pPr>
      <w:r>
        <w:rPr/>
        <w:t>采购包2：</w:t>
      </w:r>
    </w:p>
    <w:p>
      <w:pPr>
        <w:pStyle w:val="null3"/>
      </w:pPr>
      <w:r>
        <w:rPr/>
        <w:t>满足现行国家相关标准、行业标准及采购人要求。</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陕西中盛禾项目咨询有限公司</w:t>
      </w:r>
      <w:r>
        <w:rPr/>
        <w:t xml:space="preserve"> 负责答复；供应商对除采购需求外的采购文件的询问、质疑由</w:t>
      </w:r>
      <w:r>
        <w:rPr/>
        <w:t>陕西中盛禾项目咨询有限公司</w:t>
      </w:r>
      <w:r>
        <w:rPr/>
        <w:t xml:space="preserve"> 负责答复；供应商对采购过程、采购结果的询问、质疑由 </w:t>
      </w:r>
      <w:r>
        <w:rPr/>
        <w:t>陕西中盛禾项目咨询有限公司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联系人：马菲</w:t>
      </w:r>
    </w:p>
    <w:p>
      <w:pPr>
        <w:pStyle w:val="null3"/>
      </w:pPr>
      <w:r>
        <w:rPr/>
        <w:t>联系电话：13669241913</w:t>
      </w:r>
    </w:p>
    <w:p>
      <w:pPr>
        <w:pStyle w:val="null3"/>
      </w:pPr>
      <w:r>
        <w:rPr/>
        <w:t>地址：西安市雁塔区太白南路上上国际2210室</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目前，雁塔辖区在建房屋建筑工程共97个，建筑面积约1108万平方米，供应商负责对辖区内的房屋建筑（含装饰装修）工程质量监督检查提供第三方技术服务，具体服务区域以采购人指定的区域为准。</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800,000.00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房屋建筑（含装饰装修）工程质量监督检查第三方服务（东区）</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800,000.00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房屋建筑（含装饰装修）工程质量监督检查第三方服务（西区）</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标的名称：房屋建筑（含装饰装修）工程质量监督检查第三方服务（东区）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0"/>
              <w:jc w:val="both"/>
            </w:pPr>
            <w:r>
              <w:rPr>
                <w:rFonts w:ascii="宋体" w:hAnsi="宋体" w:cs="宋体" w:eastAsia="宋体"/>
                <w:sz w:val="21"/>
              </w:rPr>
              <w:t>1、常态化巡查频次每个项目不低于</w:t>
            </w:r>
            <w:r>
              <w:rPr>
                <w:rFonts w:ascii="宋体" w:hAnsi="宋体" w:cs="宋体" w:eastAsia="宋体"/>
                <w:sz w:val="21"/>
              </w:rPr>
              <w:t>2次/月，需重点管控项目巡查频次不低于3次/月，确保辖区所有在建工程检查覆盖率达到100%。</w:t>
            </w:r>
          </w:p>
          <w:p>
            <w:pPr>
              <w:pStyle w:val="null3"/>
              <w:ind w:firstLine="420"/>
              <w:jc w:val="both"/>
            </w:pPr>
            <w:r>
              <w:rPr>
                <w:rFonts w:ascii="宋体" w:hAnsi="宋体" w:cs="宋体" w:eastAsia="宋体"/>
                <w:sz w:val="21"/>
              </w:rPr>
              <w:t>2、质量巡查小组须保质保量完成雁塔区所有在建工程质量巡查工作，巡查组组长现场汇总检查出的隐患问题，并根据《陕西省建设工程质量和安全生产管理条例》进行判定，按照一般、较大、重大质量隐患，及时下发质量隐患整改通知单及整改回复期限，一旦发现施工项目存在较大以上质量隐患，立即在</w:t>
            </w:r>
            <w:r>
              <w:rPr>
                <w:rFonts w:ascii="宋体" w:hAnsi="宋体" w:cs="宋体" w:eastAsia="宋体"/>
                <w:sz w:val="21"/>
              </w:rPr>
              <w:t>8小时内报告</w:t>
            </w:r>
            <w:r>
              <w:rPr>
                <w:rFonts w:ascii="宋体" w:hAnsi="宋体" w:cs="宋体" w:eastAsia="宋体"/>
                <w:sz w:val="21"/>
              </w:rPr>
              <w:t>质安中心</w:t>
            </w:r>
            <w:r>
              <w:rPr>
                <w:rFonts w:ascii="宋体" w:hAnsi="宋体" w:cs="宋体" w:eastAsia="宋体"/>
                <w:sz w:val="21"/>
              </w:rPr>
              <w:t>处理。</w:t>
            </w:r>
          </w:p>
          <w:p>
            <w:pPr>
              <w:pStyle w:val="null3"/>
              <w:ind w:firstLine="420"/>
              <w:jc w:val="both"/>
            </w:pPr>
            <w:r>
              <w:rPr>
                <w:rFonts w:ascii="宋体" w:hAnsi="宋体" w:cs="宋体" w:eastAsia="宋体"/>
                <w:sz w:val="21"/>
              </w:rPr>
              <w:t>3、在建工程项目整改期限到期后，质量巡查小组</w:t>
            </w:r>
            <w:r>
              <w:rPr>
                <w:rFonts w:ascii="宋体" w:hAnsi="宋体" w:cs="宋体" w:eastAsia="宋体"/>
                <w:sz w:val="21"/>
              </w:rPr>
              <w:t>2日内组织完成复查，就整改前后照片逐一对比审查，要求整改后的照片能客观反映质量隐患完成整改情况，确保闭环管理；未整改完成的，当日单独移送</w:t>
            </w:r>
            <w:r>
              <w:rPr>
                <w:rFonts w:ascii="宋体" w:hAnsi="宋体" w:cs="宋体" w:eastAsia="宋体"/>
                <w:sz w:val="21"/>
              </w:rPr>
              <w:t>质安中心</w:t>
            </w:r>
            <w:r>
              <w:rPr>
                <w:rFonts w:ascii="宋体" w:hAnsi="宋体" w:cs="宋体" w:eastAsia="宋体"/>
                <w:sz w:val="21"/>
              </w:rPr>
              <w:t>，采取停工整改、约谈教育、行政处罚等手段依法依规进行处理。</w:t>
            </w:r>
          </w:p>
        </w:tc>
      </w:tr>
      <w:tr>
        <w:tc>
          <w:tcPr>
            <w:tcW w:type="dxa" w:w="2769"/>
          </w:tcPr>
          <w:p/>
        </w:tc>
        <w:tc>
          <w:tcPr>
            <w:tcW w:type="dxa" w:w="2769"/>
          </w:tcPr>
          <w:p>
            <w:pPr>
              <w:pStyle w:val="null3"/>
            </w:pPr>
            <w:r>
              <w:rPr/>
              <w:t>2</w:t>
            </w:r>
          </w:p>
        </w:tc>
        <w:tc>
          <w:tcPr>
            <w:tcW w:type="dxa" w:w="2769"/>
          </w:tcPr>
          <w:p>
            <w:pPr>
              <w:pStyle w:val="null3"/>
              <w:ind w:firstLine="420"/>
              <w:jc w:val="both"/>
            </w:pPr>
            <w:r>
              <w:rPr>
                <w:rFonts w:ascii="宋体" w:hAnsi="宋体" w:cs="宋体" w:eastAsia="宋体"/>
                <w:sz w:val="21"/>
              </w:rPr>
              <w:t>1、第三方机构是指政府委托的为政府房屋建筑工程质量监督管理提供技术服务的机构。通过实施施工质量巡查，以掌握辖区内在建工程项目工程质量管理状况，促进企业提高质量管理水平，排除项目存在的重大质量隐患，杜</w:t>
            </w:r>
            <w:r>
              <w:rPr>
                <w:rFonts w:ascii="宋体" w:hAnsi="宋体" w:cs="宋体" w:eastAsia="宋体"/>
                <w:sz w:val="21"/>
              </w:rPr>
              <w:t>绝和减少质量事故的发生，促进工程质量管理水平持续提高。</w:t>
            </w:r>
          </w:p>
          <w:p>
            <w:pPr>
              <w:pStyle w:val="null3"/>
              <w:ind w:firstLine="420"/>
              <w:jc w:val="both"/>
            </w:pPr>
            <w:r>
              <w:rPr>
                <w:rFonts w:ascii="宋体" w:hAnsi="宋体" w:cs="宋体" w:eastAsia="宋体"/>
                <w:sz w:val="21"/>
              </w:rPr>
              <w:t>2、第三方日常巡查持续时间：</w:t>
            </w:r>
            <w:r>
              <w:rPr>
                <w:rFonts w:ascii="宋体" w:hAnsi="宋体" w:cs="宋体" w:eastAsia="宋体"/>
                <w:sz w:val="21"/>
                <w:shd w:fill="FFFFFF" w:val="clear"/>
              </w:rPr>
              <w:t>自合同签订生效之日起</w:t>
            </w:r>
            <w:r>
              <w:rPr>
                <w:rFonts w:ascii="宋体" w:hAnsi="宋体" w:cs="宋体" w:eastAsia="宋体"/>
                <w:sz w:val="21"/>
                <w:shd w:fill="FFFFFF" w:val="clear"/>
              </w:rPr>
              <w:t>1年</w:t>
            </w:r>
            <w:r>
              <w:rPr>
                <w:rFonts w:ascii="宋体" w:hAnsi="宋体" w:cs="宋体" w:eastAsia="宋体"/>
                <w:sz w:val="21"/>
              </w:rPr>
              <w:t>。</w:t>
            </w:r>
          </w:p>
          <w:p>
            <w:pPr>
              <w:pStyle w:val="null3"/>
              <w:ind w:firstLine="420"/>
              <w:jc w:val="both"/>
            </w:pPr>
            <w:r>
              <w:rPr>
                <w:rFonts w:ascii="宋体" w:hAnsi="宋体" w:cs="宋体" w:eastAsia="宋体"/>
                <w:sz w:val="21"/>
              </w:rPr>
              <w:t>3、在西安市有固定办公地点，拥有与第三方机构工作相适应的设施、设备等必要的技术支撑条件。</w:t>
            </w:r>
          </w:p>
          <w:p>
            <w:pPr>
              <w:pStyle w:val="null3"/>
              <w:ind w:firstLine="420"/>
              <w:jc w:val="both"/>
            </w:pPr>
            <w:r>
              <w:rPr>
                <w:rFonts w:ascii="宋体" w:hAnsi="宋体" w:cs="宋体" w:eastAsia="宋体"/>
                <w:sz w:val="21"/>
              </w:rPr>
              <w:t>4、由第三方巡查组织自行提供司机满足检查需要的人员及车辆，保障工程质量巡查交通需求（根据日常化巡查需求按需提供）。</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标的名称：房屋建筑（含装饰装修）工程质量监督检查第三方服务（西区）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0"/>
              <w:jc w:val="both"/>
            </w:pPr>
            <w:r>
              <w:rPr>
                <w:rFonts w:ascii="宋体" w:hAnsi="宋体" w:cs="宋体" w:eastAsia="宋体"/>
                <w:sz w:val="21"/>
              </w:rPr>
              <w:t>1、常态化巡查频次每个项目不低于</w:t>
            </w:r>
            <w:r>
              <w:rPr>
                <w:rFonts w:ascii="宋体" w:hAnsi="宋体" w:cs="宋体" w:eastAsia="宋体"/>
                <w:sz w:val="21"/>
              </w:rPr>
              <w:t>2次/月，需重点管控项目巡查频次不低于3次/月，确保辖区所有在建工程检查覆盖率达到100%。</w:t>
            </w:r>
          </w:p>
          <w:p>
            <w:pPr>
              <w:pStyle w:val="null3"/>
              <w:ind w:firstLine="420"/>
              <w:jc w:val="both"/>
            </w:pPr>
            <w:r>
              <w:rPr>
                <w:rFonts w:ascii="宋体" w:hAnsi="宋体" w:cs="宋体" w:eastAsia="宋体"/>
                <w:sz w:val="21"/>
              </w:rPr>
              <w:t>2、质量巡查小组须保质保量完成雁塔区所有在建工程质量巡查工作，巡查组组长现场汇总检查出的隐患问题，并根据《陕西省建设工程质量和安全生产管理条例》进行判定，按照一般、较大、重大质量隐患，及时下发质量隐患整改通知单及整改回复期限，一旦发现施工项目存在较大以上质量隐患，立即在</w:t>
            </w:r>
            <w:r>
              <w:rPr>
                <w:rFonts w:ascii="宋体" w:hAnsi="宋体" w:cs="宋体" w:eastAsia="宋体"/>
                <w:sz w:val="21"/>
              </w:rPr>
              <w:t>8小时内报告</w:t>
            </w:r>
            <w:r>
              <w:rPr>
                <w:rFonts w:ascii="宋体" w:hAnsi="宋体" w:cs="宋体" w:eastAsia="宋体"/>
                <w:sz w:val="21"/>
              </w:rPr>
              <w:t>质安中心</w:t>
            </w:r>
            <w:r>
              <w:rPr>
                <w:rFonts w:ascii="宋体" w:hAnsi="宋体" w:cs="宋体" w:eastAsia="宋体"/>
                <w:sz w:val="21"/>
              </w:rPr>
              <w:t>处理。</w:t>
            </w:r>
          </w:p>
          <w:p>
            <w:pPr>
              <w:pStyle w:val="null3"/>
              <w:ind w:firstLine="420"/>
              <w:jc w:val="both"/>
            </w:pPr>
            <w:r>
              <w:rPr>
                <w:rFonts w:ascii="宋体" w:hAnsi="宋体" w:cs="宋体" w:eastAsia="宋体"/>
                <w:sz w:val="21"/>
              </w:rPr>
              <w:t>3、在建工程项目整改期限到期后，质量巡查小组</w:t>
            </w:r>
            <w:r>
              <w:rPr>
                <w:rFonts w:ascii="宋体" w:hAnsi="宋体" w:cs="宋体" w:eastAsia="宋体"/>
                <w:sz w:val="21"/>
              </w:rPr>
              <w:t>2日内组织完成复查，就整改前后照片逐一对比审查，要求整改后的照片能客观反映质量隐患完成整改情况，确保闭环管理；未整改完成的，当日单独移送</w:t>
            </w:r>
            <w:r>
              <w:rPr>
                <w:rFonts w:ascii="宋体" w:hAnsi="宋体" w:cs="宋体" w:eastAsia="宋体"/>
                <w:sz w:val="21"/>
              </w:rPr>
              <w:t>质安中心</w:t>
            </w:r>
            <w:r>
              <w:rPr>
                <w:rFonts w:ascii="宋体" w:hAnsi="宋体" w:cs="宋体" w:eastAsia="宋体"/>
                <w:sz w:val="21"/>
              </w:rPr>
              <w:t>，采取停工整改、约谈教育、行政处罚等手段依法依规进行处理。</w:t>
            </w:r>
          </w:p>
        </w:tc>
      </w:tr>
      <w:tr>
        <w:tc>
          <w:tcPr>
            <w:tcW w:type="dxa" w:w="2769"/>
          </w:tcPr>
          <w:p/>
        </w:tc>
        <w:tc>
          <w:tcPr>
            <w:tcW w:type="dxa" w:w="2769"/>
          </w:tcPr>
          <w:p>
            <w:pPr>
              <w:pStyle w:val="null3"/>
            </w:pPr>
            <w:r>
              <w:rPr/>
              <w:t>2</w:t>
            </w:r>
          </w:p>
        </w:tc>
        <w:tc>
          <w:tcPr>
            <w:tcW w:type="dxa" w:w="2769"/>
          </w:tcPr>
          <w:p>
            <w:pPr>
              <w:pStyle w:val="null3"/>
              <w:ind w:firstLine="420"/>
              <w:jc w:val="both"/>
            </w:pPr>
            <w:r>
              <w:rPr>
                <w:rFonts w:ascii="宋体" w:hAnsi="宋体" w:cs="宋体" w:eastAsia="宋体"/>
                <w:sz w:val="21"/>
              </w:rPr>
              <w:t>1、第三方机构是指政府委托的为政府房屋建筑工程质量监督管理提供技术服务的机构。通过实施施工质量巡查，以掌握辖区内在建工程项目工程质量管理状况，促进企业提高质量管理水平，排除项目存在的重大质量隐患，杜</w:t>
            </w:r>
            <w:r>
              <w:rPr>
                <w:rFonts w:ascii="宋体" w:hAnsi="宋体" w:cs="宋体" w:eastAsia="宋体"/>
                <w:sz w:val="21"/>
              </w:rPr>
              <w:t>绝和减少质量事故的发生，促进工程质量管理水平持续提高。</w:t>
            </w:r>
          </w:p>
          <w:p>
            <w:pPr>
              <w:pStyle w:val="null3"/>
              <w:ind w:firstLine="420"/>
              <w:jc w:val="both"/>
            </w:pPr>
            <w:r>
              <w:rPr>
                <w:rFonts w:ascii="宋体" w:hAnsi="宋体" w:cs="宋体" w:eastAsia="宋体"/>
                <w:sz w:val="21"/>
              </w:rPr>
              <w:t>2、第三方日常巡查持续时间：</w:t>
            </w:r>
            <w:r>
              <w:rPr>
                <w:rFonts w:ascii="宋体" w:hAnsi="宋体" w:cs="宋体" w:eastAsia="宋体"/>
                <w:sz w:val="21"/>
                <w:shd w:fill="FFFFFF" w:val="clear"/>
              </w:rPr>
              <w:t>自合同签订生效之日起</w:t>
            </w:r>
            <w:r>
              <w:rPr>
                <w:rFonts w:ascii="宋体" w:hAnsi="宋体" w:cs="宋体" w:eastAsia="宋体"/>
                <w:sz w:val="21"/>
                <w:shd w:fill="FFFFFF" w:val="clear"/>
              </w:rPr>
              <w:t>1年</w:t>
            </w:r>
            <w:r>
              <w:rPr>
                <w:rFonts w:ascii="宋体" w:hAnsi="宋体" w:cs="宋体" w:eastAsia="宋体"/>
                <w:sz w:val="21"/>
              </w:rPr>
              <w:t>。</w:t>
            </w:r>
          </w:p>
          <w:p>
            <w:pPr>
              <w:pStyle w:val="null3"/>
              <w:ind w:firstLine="420"/>
              <w:jc w:val="both"/>
            </w:pPr>
            <w:r>
              <w:rPr>
                <w:rFonts w:ascii="宋体" w:hAnsi="宋体" w:cs="宋体" w:eastAsia="宋体"/>
                <w:sz w:val="21"/>
              </w:rPr>
              <w:t>3、在西安市有固定办公地点，拥有与第三方机构工作相适应的设施、设备等必要的技术支撑条件。</w:t>
            </w:r>
          </w:p>
          <w:p>
            <w:pPr>
              <w:pStyle w:val="null3"/>
              <w:ind w:firstLine="420"/>
              <w:jc w:val="both"/>
            </w:pPr>
            <w:r>
              <w:rPr>
                <w:rFonts w:ascii="宋体" w:hAnsi="宋体" w:cs="宋体" w:eastAsia="宋体"/>
                <w:sz w:val="21"/>
              </w:rPr>
              <w:t>4、由第三方巡查组织自行提供司机满足检查需要的人员及车辆，保障工程质量巡查交通需求（根据日常化巡查需求按需提供）。</w:t>
            </w:r>
          </w:p>
        </w:tc>
      </w:tr>
    </w:tbl>
    <w:p>
      <w:pPr>
        <w:pStyle w:val="null3"/>
        <w:outlineLvl w:val="2"/>
      </w:pPr>
      <w:r>
        <w:rPr>
          <w:b/>
          <w:sz w:val="28"/>
        </w:rPr>
        <w:t>3.2.3人员配置要求</w:t>
      </w:r>
    </w:p>
    <w:p>
      <w:pPr>
        <w:pStyle w:val="null3"/>
      </w:pPr>
      <w:r>
        <w:rPr/>
        <w:t>采购包1：</w:t>
      </w:r>
    </w:p>
    <w:p>
      <w:pPr>
        <w:pStyle w:val="null3"/>
      </w:pPr>
      <w:r>
        <w:rPr/>
        <w:t>满足本项目要求。</w:t>
      </w:r>
    </w:p>
    <w:p>
      <w:pPr>
        <w:pStyle w:val="null3"/>
      </w:pPr>
      <w:r>
        <w:rPr/>
        <w:t>采购包2：</w:t>
      </w:r>
    </w:p>
    <w:p>
      <w:pPr>
        <w:pStyle w:val="null3"/>
      </w:pPr>
      <w:r>
        <w:rPr/>
        <w:t>满足本项目要求。</w:t>
      </w:r>
    </w:p>
    <w:p>
      <w:pPr>
        <w:pStyle w:val="null3"/>
        <w:outlineLvl w:val="2"/>
      </w:pPr>
      <w:r>
        <w:rPr>
          <w:b/>
          <w:sz w:val="28"/>
        </w:rPr>
        <w:t>3.2.4设施设备要求</w:t>
      </w:r>
    </w:p>
    <w:p>
      <w:pPr>
        <w:pStyle w:val="null3"/>
      </w:pPr>
      <w:r>
        <w:rPr/>
        <w:t>采购包1：</w:t>
      </w:r>
    </w:p>
    <w:p>
      <w:pPr>
        <w:pStyle w:val="null3"/>
      </w:pPr>
      <w:r>
        <w:rPr/>
        <w:t>满足本项目要求。</w:t>
      </w:r>
    </w:p>
    <w:p>
      <w:pPr>
        <w:pStyle w:val="null3"/>
      </w:pPr>
      <w:r>
        <w:rPr/>
        <w:t>采购包2：</w:t>
      </w:r>
    </w:p>
    <w:p>
      <w:pPr>
        <w:pStyle w:val="null3"/>
      </w:pPr>
      <w:r>
        <w:rPr/>
        <w:t>满足本项目要求。</w:t>
      </w:r>
    </w:p>
    <w:p>
      <w:pPr>
        <w:pStyle w:val="null3"/>
        <w:outlineLvl w:val="2"/>
      </w:pPr>
      <w:r>
        <w:rPr>
          <w:b/>
          <w:sz w:val="28"/>
        </w:rPr>
        <w:t>3.2.5其他要求</w:t>
      </w:r>
    </w:p>
    <w:p>
      <w:pPr>
        <w:pStyle w:val="null3"/>
      </w:pPr>
      <w:r>
        <w:rPr/>
        <w:t>采购包1：</w:t>
      </w:r>
    </w:p>
    <w:p>
      <w:pPr>
        <w:pStyle w:val="null3"/>
      </w:pPr>
      <w:r>
        <w:rPr/>
        <w:t>/</w:t>
      </w:r>
    </w:p>
    <w:p>
      <w:pPr>
        <w:pStyle w:val="null3"/>
      </w:pPr>
      <w:r>
        <w:rPr/>
        <w:t>采购包2：</w:t>
      </w:r>
    </w:p>
    <w:p>
      <w:pPr>
        <w:pStyle w:val="null3"/>
      </w:pPr>
      <w:r>
        <w:rPr/>
        <w:t>/</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自合同签订生效之日起1年。</w:t>
      </w:r>
    </w:p>
    <w:p>
      <w:pPr>
        <w:pStyle w:val="null3"/>
      </w:pPr>
      <w:r>
        <w:rPr/>
        <w:t>采购包2：</w:t>
      </w:r>
    </w:p>
    <w:p>
      <w:pPr>
        <w:pStyle w:val="null3"/>
      </w:pPr>
      <w:r>
        <w:rPr/>
        <w:t>自合同签订生效之日起1年。</w:t>
      </w:r>
    </w:p>
    <w:p>
      <w:pPr>
        <w:pStyle w:val="null3"/>
        <w:outlineLvl w:val="3"/>
      </w:pPr>
      <w:r>
        <w:rPr>
          <w:b/>
          <w:sz w:val="24"/>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1、满足现行国家相关标准、行业标准及采购人要求；成交供应商对最终的服务质量负完全责任。 2、验收依据： （1）合同； （2）国家有关的验收标准及规范； （3）竞争性磋商文件、竞争性磋商响应文件。</w:t>
      </w:r>
    </w:p>
    <w:p>
      <w:pPr>
        <w:pStyle w:val="null3"/>
      </w:pPr>
      <w:r>
        <w:rPr/>
        <w:t>采购包2：</w:t>
      </w:r>
    </w:p>
    <w:p>
      <w:pPr>
        <w:pStyle w:val="null3"/>
      </w:pPr>
      <w:r>
        <w:rPr/>
        <w:t>1、满足现行国家相关标准、行业标准及采购人要求；成交供应商对最终的服务质量负完全责任。 2、验收依据： （1）合同； （2）国家有关的验收标准及规范； （3）竞争性磋商文件、竞争性磋商响应文件。</w:t>
      </w:r>
    </w:p>
    <w:p>
      <w:pPr>
        <w:pStyle w:val="null3"/>
        <w:outlineLvl w:val="3"/>
      </w:pPr>
      <w:r>
        <w:rPr>
          <w:b/>
          <w:sz w:val="24"/>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w:t>
      </w:r>
      <w:r>
        <w:rPr/>
        <w:t xml:space="preserve"> ，达到付款条件起 </w:t>
      </w:r>
      <w:r>
        <w:rPr/>
        <w:t>7</w:t>
      </w:r>
      <w:r>
        <w:rPr/>
        <w:t xml:space="preserve"> 日内，支付合同总金额的 </w:t>
      </w:r>
      <w:r>
        <w:rPr/>
        <w:t>25.00</w:t>
      </w:r>
      <w:r>
        <w:rPr/>
        <w:t>%。</w:t>
      </w:r>
    </w:p>
    <w:p>
      <w:pPr>
        <w:pStyle w:val="null3"/>
      </w:pPr>
      <w:r>
        <w:rPr/>
        <w:t>采购包1：</w:t>
      </w:r>
      <w:r>
        <w:rPr/>
        <w:t xml:space="preserve"> 付款条件说明： </w:t>
      </w:r>
      <w:r>
        <w:rPr/>
        <w:t>服务至半年后</w:t>
      </w:r>
      <w:r>
        <w:rPr/>
        <w:t xml:space="preserve"> ，达到付款条件起 </w:t>
      </w:r>
      <w:r>
        <w:rPr/>
        <w:t>7</w:t>
      </w:r>
      <w:r>
        <w:rPr/>
        <w:t xml:space="preserve"> 日内，支付合同总金额的 </w:t>
      </w:r>
      <w:r>
        <w:rPr/>
        <w:t>40.00</w:t>
      </w:r>
      <w:r>
        <w:rPr/>
        <w:t>%。</w:t>
      </w:r>
    </w:p>
    <w:p>
      <w:pPr>
        <w:pStyle w:val="null3"/>
      </w:pPr>
      <w:r>
        <w:rPr/>
        <w:t>采购包1：</w:t>
      </w:r>
      <w:r>
        <w:rPr/>
        <w:t xml:space="preserve"> 付款条件说明： </w:t>
      </w:r>
      <w:r>
        <w:rPr/>
        <w:t>服务完成后</w:t>
      </w:r>
      <w:r>
        <w:rPr/>
        <w:t xml:space="preserve"> ，达到付款条件起 </w:t>
      </w:r>
      <w:r>
        <w:rPr/>
        <w:t>7</w:t>
      </w:r>
      <w:r>
        <w:rPr/>
        <w:t xml:space="preserve"> 日内，支付合同总金额的 </w:t>
      </w:r>
      <w:r>
        <w:rPr/>
        <w:t>35.00</w:t>
      </w:r>
      <w:r>
        <w:rPr/>
        <w:t>%。</w:t>
      </w:r>
    </w:p>
    <w:p>
      <w:pPr>
        <w:pStyle w:val="null3"/>
      </w:pPr>
      <w:r>
        <w:rPr/>
        <w:t>采购包2：</w:t>
      </w:r>
      <w:r>
        <w:rPr/>
        <w:t xml:space="preserve"> 付款条件说明： </w:t>
      </w:r>
      <w:r>
        <w:rPr/>
        <w:t>合同签订后，乙方提供符合税务规定的合法有效发票</w:t>
      </w:r>
      <w:r>
        <w:rPr/>
        <w:t xml:space="preserve"> ，达到付款条件起 </w:t>
      </w:r>
      <w:r>
        <w:rPr/>
        <w:t>7</w:t>
      </w:r>
      <w:r>
        <w:rPr/>
        <w:t xml:space="preserve"> 日内，支付合同总金额的 </w:t>
      </w:r>
      <w:r>
        <w:rPr/>
        <w:t>25.00</w:t>
      </w:r>
      <w:r>
        <w:rPr/>
        <w:t>%。</w:t>
      </w:r>
    </w:p>
    <w:p>
      <w:pPr>
        <w:pStyle w:val="null3"/>
      </w:pPr>
      <w:r>
        <w:rPr/>
        <w:t>采购包2：</w:t>
      </w:r>
      <w:r>
        <w:rPr/>
        <w:t xml:space="preserve"> 付款条件说明： </w:t>
      </w:r>
      <w:r>
        <w:rPr/>
        <w:t>服务至半年后，乙方提供符合税务规定的合法有效发票</w:t>
      </w:r>
      <w:r>
        <w:rPr/>
        <w:t xml:space="preserve"> ，达到付款条件起 </w:t>
      </w:r>
      <w:r>
        <w:rPr/>
        <w:t>7</w:t>
      </w:r>
      <w:r>
        <w:rPr/>
        <w:t xml:space="preserve"> 日内，支付合同总金额的 </w:t>
      </w:r>
      <w:r>
        <w:rPr/>
        <w:t>40.00</w:t>
      </w:r>
      <w:r>
        <w:rPr/>
        <w:t>%。</w:t>
      </w:r>
    </w:p>
    <w:p>
      <w:pPr>
        <w:pStyle w:val="null3"/>
      </w:pPr>
      <w:r>
        <w:rPr/>
        <w:t>采购包2：</w:t>
      </w:r>
      <w:r>
        <w:rPr/>
        <w:t xml:space="preserve"> 付款条件说明： </w:t>
      </w:r>
      <w:r>
        <w:rPr/>
        <w:t>服务完成后，乙方提供符合税务规定的合法有效发票</w:t>
      </w:r>
      <w:r>
        <w:rPr/>
        <w:t xml:space="preserve"> ，达到付款条件起 </w:t>
      </w:r>
      <w:r>
        <w:rPr/>
        <w:t>7</w:t>
      </w:r>
      <w:r>
        <w:rPr/>
        <w:t xml:space="preserve"> 日内，支付合同总金额的 </w:t>
      </w:r>
      <w:r>
        <w:rPr/>
        <w:t>35.00</w:t>
      </w:r>
      <w:r>
        <w:rPr/>
        <w:t>%。</w:t>
      </w:r>
    </w:p>
    <w:p>
      <w:pPr>
        <w:pStyle w:val="null3"/>
        <w:outlineLvl w:val="3"/>
      </w:pPr>
      <w:r>
        <w:rPr>
          <w:b/>
          <w:sz w:val="24"/>
        </w:rPr>
        <w:t>3.3.6违约责任及解决争议的方法</w:t>
      </w:r>
    </w:p>
    <w:p>
      <w:pPr>
        <w:pStyle w:val="null3"/>
      </w:pPr>
      <w:r>
        <w:rPr/>
        <w:t>采购包1：</w:t>
      </w:r>
    </w:p>
    <w:p>
      <w:pPr>
        <w:pStyle w:val="null3"/>
      </w:pPr>
      <w:r>
        <w:rPr/>
        <w:t>1、违约责任 （1）甲乙双方如出现违约的，违约方自违约之日起，每日按合同暂定金额的1‰向对方承担违约责任并且及时采取有效补救措施，违约金总额不超过本合同金额的5%，并继续履行本合同所规定的义务。 （2）乙方违约超过15日的，则甲方有权解除合同，乙方应依甲方要求并按合同暂定金额的10%向甲方承担违约责任，并将工作资料、已取得工作成果和其他相关的资料一并移交甲方，乙方不得以任何理由拒绝或拖延提交有关资料，或提供不真实、不准确、不完整的资料。 2、解决争议的方法：双方本着友好合作的态度,对合同履行过程中发生的纠纷应及时协商解决，协商不成的，向甲方所在地有管辖权的人民法院诉讼解决。</w:t>
      </w:r>
    </w:p>
    <w:p>
      <w:pPr>
        <w:pStyle w:val="null3"/>
      </w:pPr>
      <w:r>
        <w:rPr/>
        <w:t>采购包2：</w:t>
      </w:r>
    </w:p>
    <w:p>
      <w:pPr>
        <w:pStyle w:val="null3"/>
      </w:pPr>
      <w:r>
        <w:rPr/>
        <w:t>1、违约责任 （1）甲乙双方如出现违约的，违约方自违约之日起，每日按合同暂定金额的1‰向对方承担违约责任并且及时采取有效补救措施，违约金总额不超过本合同金额的5%，并继续履行本合同所规定的义务。 （2）乙方违约超过15日的，则甲方有权解除合同，乙方应依甲方要求并按合同暂定金额的10%向甲方承担违约责任，并将工作资料、已取得工作成果和其他相关的资料一并移交甲方，乙方不得以任何理由拒绝或拖延提交有关资料，或提供不真实、不准确、不完整的资料。 2、解决争议的方法：双方本着友好合作的态度,对合同履行过程中发生的纠纷应及时协商解决，协商不成的，向甲方所在地有管辖权的人民法院诉讼解决。</w:t>
      </w:r>
    </w:p>
    <w:p>
      <w:pPr>
        <w:pStyle w:val="null3"/>
        <w:outlineLvl w:val="2"/>
      </w:pPr>
      <w:r>
        <w:rPr>
          <w:b/>
          <w:sz w:val="28"/>
        </w:rPr>
        <w:t>3.4其他要求</w:t>
      </w:r>
    </w:p>
    <w:p>
      <w:pPr>
        <w:pStyle w:val="null3"/>
      </w:pPr>
      <w:r>
        <w:rPr/>
        <w:t>1、价格： （1）合同单价包括：服务费、售后服务费、利润、税金、保险、相关伴随费用等的一切费用。 （2）合同有效期内，合同单价一次包死，不受国家政策性调价或原材料价格变化及外汇汇率变化的影响，并作为最终结算的唯一依据。 （3）服务承诺：供应商应遵照国家规范规定的技术服务内容及要求作出明确承诺。 2、保密要求： 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 3、质量要求： 满足国家、省、市现行法律法规及相关政策要求。 4、合同实施： （1）成交供应商应在合同签订后尽快安排人员与采购单位就服务工作进行安排、部署。 （2）若因成交供应商原因未能在服务期内完成合同规定的义务，由此对采购人造成的延误和一切损失，由成交供应商承担和赔偿。 注：商务要求为实质性要求，不得负偏离。</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1、具有独立承担民事责任能力的法人、其他组织或自然人，并出具合法有效的营业执照或事业单位法人证书等国家规定的相关证明，自然人参与的提供其身份证明； 2、财务状况报告：提供2021或2022年度完整的财务审计报告（包括审计报告、资产负债表、利润表、现金流量表、所有者权益变动表及其附注,成立时间至提交响应文件截止时间不足一年的可提供成立后任意时段的资产负债表），或者提供响应文件截止时间前6个月内其基本账户银行出具的资信证明附开户许可证或基本账户证明； 3、税收缴纳证明：提供2023年04月至今已缴纳的至少一个月的纳税证明或完税证明，依法免税的单位应提供相关证明材料； 4、社会保障资金缴纳证明：提供2023年04月至今已缴纳的至少一个月的社会保障资金缴存单据或社保机构开具的社会保险参保缴费情况证明，依法不需要缴纳社会保障资金的单位应提供相关证明材料； 5、提供参加政府采购活动前三年内在经营活动中没有重大违法记录的书面声明；（采购人、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 6、提供具有履行本合同所必需的设备和专业技术能力的说明及承诺。 注：供应商需在项目电子化交易系统中按要求填写《投标函》完成承诺并进行电子签章。</w:t>
            </w:r>
          </w:p>
        </w:tc>
        <w:tc>
          <w:tcPr>
            <w:tcW w:type="dxa" w:w="1661"/>
          </w:tcPr>
          <w:p>
            <w:pPr>
              <w:pStyle w:val="null3"/>
            </w:pPr>
            <w:r>
              <w:rPr/>
              <w:t>响应文件封面 服务内容及服务邀请应答表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1、具有独立承担民事责任能力的法人、其他组织或自然人，并出具合法有效的营业执照或事业单位法人证书等国家规定的相关证明，自然人参与的提供其身份证明； 2、财务状况报告：提供2021或2022年度完整的财务审计报告（包括审计报告、资产负债表、利润表、现金流量表、所有者权益变动表及其附注,成立时间至提交响应文件截止时间不足一年的可提供成立后任意时段的资产负债表），或者提供响应文件截止时间前6个月内其基本账户银行出具的资信证明附开户许可证或基本账户证明； 3、税收缴纳证明：提供2023年04月至今已缴纳的至少一个月的纳税证明或完税证明，依法免税的单位应提供相关证明材料； 4、社会保障资金缴纳证明：提供2023年04月至今已缴纳的至少一个月的社会保障资金缴存单据或社保机构开具的社会保险参保缴费情况证明，依法不需要缴纳社会保障资金的单位应提供相关证明材料； 5、提供参加政府采购活动前三年内在经营活动中没有重大违法记录的书面声明；（采购人、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 6、提供具有履行本合同所必需的设备和专业技术能力的说明及承诺。 注：供应商需在项目电子化交易系统中按要求填写《投标函》完成承诺并进行电子签章。</w:t>
            </w:r>
          </w:p>
        </w:tc>
        <w:tc>
          <w:tcPr>
            <w:tcW w:type="dxa" w:w="1661"/>
          </w:tcPr>
          <w:p>
            <w:pPr>
              <w:pStyle w:val="null3"/>
            </w:pPr>
            <w:r>
              <w:rPr/>
              <w:t>响应文件封面 服务内容及服务邀请应答表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法定代表人授权书（附法定代表人身份证复印件）及被授权人身份证</w:t>
            </w:r>
          </w:p>
        </w:tc>
        <w:tc>
          <w:tcPr>
            <w:tcW w:type="dxa" w:w="3322"/>
          </w:tcPr>
          <w:p>
            <w:pPr>
              <w:pStyle w:val="null3"/>
            </w:pPr>
            <w:r>
              <w:rPr/>
              <w:t>法定代表人授权书（附法定代表人身份证复印件）及被授权人身份证；（法定代表人直接参加磋商只须提供法定代表人身份证）；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供应商资格</w:t>
            </w:r>
          </w:p>
        </w:tc>
        <w:tc>
          <w:tcPr>
            <w:tcW w:type="dxa" w:w="3322"/>
          </w:tcPr>
          <w:p>
            <w:pPr>
              <w:pStyle w:val="null3"/>
            </w:pPr>
            <w:r>
              <w:rPr/>
              <w:t>供应商提供建设行政主管部门颁发的工程监理综合资质或具备房屋建筑工程监理乙级及以上资质；</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项目负责人资格</w:t>
            </w:r>
          </w:p>
        </w:tc>
        <w:tc>
          <w:tcPr>
            <w:tcW w:type="dxa" w:w="3322"/>
          </w:tcPr>
          <w:p>
            <w:pPr>
              <w:pStyle w:val="null3"/>
            </w:pPr>
            <w:r>
              <w:rPr/>
              <w:t>项目负责人具有注册监理工程师执业资格。</w:t>
            </w:r>
          </w:p>
        </w:tc>
        <w:tc>
          <w:tcPr>
            <w:tcW w:type="dxa" w:w="1661"/>
          </w:tcPr>
          <w:p>
            <w:pPr>
              <w:pStyle w:val="null3"/>
            </w:pPr>
            <w:r>
              <w:rPr/>
              <w:t>供应商应提交的相关资格证明材料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法定代表人授权书（附法定代表人身份证复印件）及被授权人身份证</w:t>
            </w:r>
          </w:p>
        </w:tc>
        <w:tc>
          <w:tcPr>
            <w:tcW w:type="dxa" w:w="3322"/>
          </w:tcPr>
          <w:p>
            <w:pPr>
              <w:pStyle w:val="null3"/>
            </w:pPr>
            <w:r>
              <w:rPr/>
              <w:t>法定代表人授权书（附法定代表人身份证复印件）及被授权人身份证；（法定代表人直接参加磋商只须提供法定代表人身份证）；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供应商资格</w:t>
            </w:r>
          </w:p>
        </w:tc>
        <w:tc>
          <w:tcPr>
            <w:tcW w:type="dxa" w:w="3322"/>
          </w:tcPr>
          <w:p>
            <w:pPr>
              <w:pStyle w:val="null3"/>
            </w:pPr>
            <w:r>
              <w:rPr/>
              <w:t>供应商提供建设行政主管部门颁发的工程监理综合资质或具备房屋建筑工程监理乙级及以上资质；</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项目负责人资格</w:t>
            </w:r>
          </w:p>
        </w:tc>
        <w:tc>
          <w:tcPr>
            <w:tcW w:type="dxa" w:w="3322"/>
          </w:tcPr>
          <w:p>
            <w:pPr>
              <w:pStyle w:val="null3"/>
            </w:pPr>
            <w:r>
              <w:rPr/>
              <w:t>项目负责人具有注册监理工程师执业资格。</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项目总体方案</w:t>
            </w:r>
          </w:p>
        </w:tc>
        <w:tc>
          <w:tcPr>
            <w:tcW w:type="dxa" w:w="2492"/>
          </w:tcPr>
          <w:p>
            <w:pPr>
              <w:pStyle w:val="null3"/>
            </w:pPr>
            <w:r>
              <w:rPr/>
              <w:t>根据本项目特点，编制项目总体方案，应包括①总体实施；②工作进度；③工作的安全性；④检查依据；⑤服务管理自查制度，每提供一项得1-3分；最高得15分。 注：1、各磋商小组成员独立打分。 2、磋商小组成员打分超过得分界限或未按本表规定赋分时，该磋商小组成员的打分无效，不计入汇总分。 3、若出现综合得分相同的，按磋商报价由低到高顺序排列名次；得分且磋商报价相同的，按技术指标得分顺序排列名次。 4、最终结果数字保留二位小数，第三位“四舍五入”。 5、若有漏项或有较大问题的分项，经三分之二以上评委同意该分项得0分。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成果方案</w:t>
            </w:r>
          </w:p>
        </w:tc>
        <w:tc>
          <w:tcPr>
            <w:tcW w:type="dxa" w:w="2492"/>
          </w:tcPr>
          <w:p>
            <w:pPr>
              <w:pStyle w:val="null3"/>
            </w:pPr>
            <w:r>
              <w:rPr/>
              <w:t>根据本项目特点，提供成果方案，应包括：①质量监督巡查周报、季报、半年报、年报检查记录；②巡查日常记录；③报告等方面成果。 每提供一项得1-5分；最高得15分。 注：1、各磋商小组成员独立打分。 2、磋商小组成员打分超过得分界限或未按本表规定赋分时，该磋商小组成员的打分无效，不计入汇总分。 3、若出现综合得分相同的，按磋商报价由低到高顺序排列名次；得分且磋商报价相同的，按技术指标得分顺序排列名次。 4、最终结果数字保留二位小数，第三位“四舍五入”。 5、若有漏项或有较大问题的分项，经三分之二以上评委同意该分项得0分。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沟通协调方案</w:t>
            </w:r>
          </w:p>
        </w:tc>
        <w:tc>
          <w:tcPr>
            <w:tcW w:type="dxa" w:w="2492"/>
          </w:tcPr>
          <w:p>
            <w:pPr>
              <w:pStyle w:val="null3"/>
            </w:pPr>
            <w:r>
              <w:rPr/>
              <w:t>针对项目特点，编制符合要求的沟通协调方案，应包括：①沟通衔接机制度；②沟通与协调措施。 每提供一项得1-3分；最高得6分。 注：1、各磋商小组成员独立打分。 2、磋商小组成员打分超过得分界限或未按本表规定赋分时，该磋商小组成员的打分无效，不计入汇总分。 3、若出现综合得分相同的，按磋商报价由低到高顺序排列名次；得分且磋商报价相同的，按技术指标得分顺序排列名次。 4、最终结果数字保留二位小数，第三位“四舍五入”。 5、若有漏项或有较大问题的分项，经三分之二以上评委同意该分项得0分。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隐患处理方案</w:t>
            </w:r>
          </w:p>
        </w:tc>
        <w:tc>
          <w:tcPr>
            <w:tcW w:type="dxa" w:w="2492"/>
          </w:tcPr>
          <w:p>
            <w:pPr>
              <w:pStyle w:val="null3"/>
            </w:pPr>
            <w:r>
              <w:rPr/>
              <w:t>针对项目要求，编制隐患处理方案，应包括①相关经验记录；②如何整治处理隐患。 每提供一项得1-3分；最高得6分。 注：1、各磋商小组成员独立打分。 2、磋商小组成员打分超过得分界限或未按本表规定赋分时，该磋商小组成员的打分无效，不计入汇总分。 3、若出现综合得分相同的，按磋商报价由低到高顺序排列名次；得分且磋商报价相同的，按技术指标得分顺序排列名次。 4、最终结果数字保留二位小数，第三位“四舍五入”。 5、若有漏项或有较大问题的分项，经三分之二以上评委同意该分项得0分。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检查质量保障措施</w:t>
            </w:r>
          </w:p>
        </w:tc>
        <w:tc>
          <w:tcPr>
            <w:tcW w:type="dxa" w:w="2492"/>
          </w:tcPr>
          <w:p>
            <w:pPr>
              <w:pStyle w:val="null3"/>
            </w:pPr>
            <w:r>
              <w:rPr/>
              <w:t>针对项目要求，编制检查质量保障措施，应包括：①质量进度措施；②检查质量保障措施。 每提供一项得1-2.5分；最高得5分。 注：1、各磋商小组成员独立打分。 2、磋商小组成员打分超过得分界限或未按本表规定赋分时，该磋商小组成员的打分无效，不计入汇总分。 3、若出现综合得分相同的，按磋商报价由低到高顺序排列名次；得分且磋商报价相同的，按技术指标得分顺序排列名次。 4、最终结果数字保留二位小数，第三位“四舍五入”。 5、若有漏项或有较大问题的分项，经三分之二以上评委同意该分项得0分。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拟投入的设备</w:t>
            </w:r>
          </w:p>
        </w:tc>
        <w:tc>
          <w:tcPr>
            <w:tcW w:type="dxa" w:w="2492"/>
          </w:tcPr>
          <w:p>
            <w:pPr>
              <w:pStyle w:val="null3"/>
            </w:pPr>
            <w:r>
              <w:rPr/>
              <w:t>拟投入的设备必须满足本项目实际需求，并从①设备性能；②数量及种类；体现拟投入设备的合理性和必要性。 每提供一项得1-4分；最高得8分。 注：1、各磋商小组成员独立打分。 2、磋商小组成员打分超过得分界限或未按本表规定赋分时，该磋商小组成员的打分无效，不计入汇总分。 3、若出现综合得分相同的，按磋商报价由低到高顺序排列名次；得分且磋商报价相同的，按技术指标得分顺序排列名次。 4、最终结果数字保留二位小数，第三位“四舍五入”。 5、若有漏项或有较大问题的分项，经三分之二以上评委同意该分项得0分。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本项目应至少配置注册监理工程师（房屋建筑工程）不少于2人，且具有中级及以上技术职称的得4分。 注：1、各磋商小组成员独立打分。 2、磋商小组成员打分超过得分界限或未按本表规定赋分时，该磋商小组成员的打分无效，不计入汇总分。 3、若出现综合得分相同的，按磋商报价由低到高顺序排列名次；得分且磋商报价相同的，按技术指标得分顺序排列名次。 4、最终结果数字保留二位小数，第三位“四舍五入”。 5、若有漏项或有较大问题的分项，经三分之二以上评委同意该分项得0分。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团队配置</w:t>
            </w:r>
          </w:p>
        </w:tc>
        <w:tc>
          <w:tcPr>
            <w:tcW w:type="dxa" w:w="2492"/>
          </w:tcPr>
          <w:p>
            <w:pPr>
              <w:pStyle w:val="null3"/>
            </w:pPr>
            <w:r>
              <w:rPr/>
              <w:t>投入本项目的专业服务团队人员满足要求，应包括①配备人员数量，②专业人员配置齐全、③人员安排分工明确；每提供一项得1-3分；最高得9分。 注：1、各磋商小组成员独立打分。 2、磋商小组成员打分超过得分界限或未按本表规定赋分时，该磋商小组成员的打分无效，不计入汇总分。 3、若出现综合得分相同的，按磋商报价由低到高顺序排列名次；得分且磋商报价相同的，按技术指标得分顺序排列名次。 4、最终结果数字保留二位小数，第三位“四舍五入”。 5、若有漏项或有较大问题的分项，经三分之二以上评委同意该分项得0分。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具有2021年4月至今的类似项目业绩（以合同签订日期为准），以合同复印件为准。每个业绩计5分，2个以上（含2个）计10分。 注：1、各磋商小组成员独立打分。 2、磋商小组成员打分超过得分界限或未按本表规定赋分时，该磋商小组成员的打分无效，不计入汇总分。 3、若出现综合得分相同的，按磋商报价由低到高顺序排列名次；得分且磋商报价相同的，按技术指标得分顺序排列名次。 4、最终结果数字保留二位小数，第三位“四舍五入”。 5、若有漏项或有较大问题的分项，经三分之二以上评委同意该分项得0分。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针对本项目特点，提供本项目服务承诺，应包含①服务目标，②服务效果③拟投入的设备④服务过程中的人员到岗情况，每提供一项得1-3分，最高得12分。 注：1、各磋商小组成员独立打分。 2、磋商小组成员打分超过得分界限或未按本表规定赋分时，该磋商小组成员的打分无效，不计入汇总分。 3、若出现综合得分相同的，按磋商报价由低到高顺序排列名次；得分且磋商报价相同的，按技术指标得分顺序排列名次。 4、最终结果数字保留二位小数，第三位“四舍五入”。 5、若有漏项或有较大问题的分项，经三分之二以上评委同意该分项得0分。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最低有效报价得10分。以本次最低有效投标报价为基准价，投标报价得分=(基准价÷投标报价)×价格分值。</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项目总体方案</w:t>
            </w:r>
          </w:p>
        </w:tc>
        <w:tc>
          <w:tcPr>
            <w:tcW w:type="dxa" w:w="2492"/>
          </w:tcPr>
          <w:p>
            <w:pPr>
              <w:pStyle w:val="null3"/>
            </w:pPr>
            <w:r>
              <w:rPr/>
              <w:t>根据本项目特点，编制项目总体方案，应包括①总体实施；②工作进度；③工作的安全性；④检查依据；⑤服务管理自查制度，每提供一项得1-3分；最高得15分。 注：1、各磋商小组成员独立打分。 2、磋商小组成员打分超过得分界限或未按本表规定赋分时，该磋商小组成员的打分无效，不计入汇总分。 3、若出现综合得分相同的，按磋商报价由低到高顺序排列名次；得分且磋商报价相同的，按技术指标得分顺序排列名次。 4、最终结果数字保留二位小数，第三位“四舍五入”。 5、若有漏项或有较大问题的分项，经三分之二以上评委同意该分项得0分。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成果方案</w:t>
            </w:r>
          </w:p>
        </w:tc>
        <w:tc>
          <w:tcPr>
            <w:tcW w:type="dxa" w:w="2492"/>
          </w:tcPr>
          <w:p>
            <w:pPr>
              <w:pStyle w:val="null3"/>
            </w:pPr>
            <w:r>
              <w:rPr/>
              <w:t>根据本项目特点，提供成果方案，应包括：①质量监督巡查周报、季报、半年报、年报检查记录；②巡查日常记录；③报告等方面成果。 每提供一项得1-5分；最高得15分。 注：1、各磋商小组成员独立打分。 2、磋商小组成员打分超过得分界限或未按本表规定赋分时，该磋商小组成员的打分无效，不计入汇总分。 3、若出现综合得分相同的，按磋商报价由低到高顺序排列名次；得分且磋商报价相同的，按技术指标得分顺序排列名次。 4、最终结果数字保留二位小数，第三位“四舍五入”。 5、若有漏项或有较大问题的分项，经三分之二以上评委同意该分项得0分。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沟通协调方案</w:t>
            </w:r>
          </w:p>
        </w:tc>
        <w:tc>
          <w:tcPr>
            <w:tcW w:type="dxa" w:w="2492"/>
          </w:tcPr>
          <w:p>
            <w:pPr>
              <w:pStyle w:val="null3"/>
            </w:pPr>
            <w:r>
              <w:rPr/>
              <w:t>针对项目特点，编制符合要求的沟通协调方案，应包括：①沟通衔接机制度；②沟通与协调措施。 每提供一项得1-3分；最高得6分。 注：1、各磋商小组成员独立打分。 2、磋商小组成员打分超过得分界限或未按本表规定赋分时，该磋商小组成员的打分无效，不计入汇总分。 3、若出现综合得分相同的，按磋商报价由低到高顺序排列名次；得分且磋商报价相同的，按技术指标得分顺序排列名次。 4、最终结果数字保留二位小数，第三位“四舍五入”。 5、若有漏项或有较大问题的分项，经三分之二以上评委同意该分项得0分。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隐患处理方案</w:t>
            </w:r>
          </w:p>
        </w:tc>
        <w:tc>
          <w:tcPr>
            <w:tcW w:type="dxa" w:w="2492"/>
          </w:tcPr>
          <w:p>
            <w:pPr>
              <w:pStyle w:val="null3"/>
            </w:pPr>
            <w:r>
              <w:rPr/>
              <w:t>针对项目要求，编制隐患处理方案，应包括①相关经验记录；②如何整治处理隐患。 每提供一项得1-3分；最高得6分。 注：1、各磋商小组成员独立打分。 2、磋商小组成员打分超过得分界限或未按本表规定赋分时，该磋商小组成员的打分无效，不计入汇总分。 3、若出现综合得分相同的，按磋商报价由低到高顺序排列名次；得分且磋商报价相同的，按技术指标得分顺序排列名次。 4、最终结果数字保留二位小数，第三位“四舍五入”。 5、若有漏项或有较大问题的分项，经三分之二以上评委同意该分项得0分。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检查质量保障措施</w:t>
            </w:r>
          </w:p>
        </w:tc>
        <w:tc>
          <w:tcPr>
            <w:tcW w:type="dxa" w:w="2492"/>
          </w:tcPr>
          <w:p>
            <w:pPr>
              <w:pStyle w:val="null3"/>
            </w:pPr>
            <w:r>
              <w:rPr/>
              <w:t>针对项目要求，编制检查质量保障措施，应包括：①质量进度措施；②检查质量保障措施。 每提供一项得1-2.5分；最高得5分。 注：1、各磋商小组成员独立打分。 2、磋商小组成员打分超过得分界限或未按本表规定赋分时，该磋商小组成员的打分无效，不计入汇总分。 3、若出现综合得分相同的，按磋商报价由低到高顺序排列名次；得分且磋商报价相同的，按技术指标得分顺序排列名次。 4、最终结果数字保留二位小数，第三位“四舍五入”。 5、若有漏项或有较大问题的分项，经三分之二以上评委同意该分项得0分。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拟投入的设备</w:t>
            </w:r>
          </w:p>
        </w:tc>
        <w:tc>
          <w:tcPr>
            <w:tcW w:type="dxa" w:w="2492"/>
          </w:tcPr>
          <w:p>
            <w:pPr>
              <w:pStyle w:val="null3"/>
            </w:pPr>
            <w:r>
              <w:rPr/>
              <w:t>拟投入的设备必须满足本项目实际需求，并从①设备性能；②数量及种类；体现拟投入设备的合理性和必要性。 每提供一项得1-4分；最高得8分。 注：1、各磋商小组成员独立打分。 2、磋商小组成员打分超过得分界限或未按本表规定赋分时，该磋商小组成员的打分无效，不计入汇总分。 3、若出现综合得分相同的，按磋商报价由低到高顺序排列名次；得分且磋商报价相同的，按技术指标得分顺序排列名次。 4、最终结果数字保留二位小数，第三位“四舍五入”。 5、若有漏项或有较大问题的分项，经三分之二以上评委同意该分项得0分。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本项目应至少配置注册监理工程师（房屋建筑工程）不少于2人，且具有中级及以上技术职称的得4分。 注：1、各磋商小组成员独立打分。 2、磋商小组成员打分超过得分界限或未按本表规定赋分时，该磋商小组成员的打分无效，不计入汇总分。 3、若出现综合得分相同的，按磋商报价由低到高顺序排列名次；得分且磋商报价相同的，按技术指标得分顺序排列名次。 4、最终结果数字保留二位小数，第三位“四舍五入”。 5、若有漏项或有较大问题的分项，经三分之二以上评委同意该分项得0分。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团队配置</w:t>
            </w:r>
          </w:p>
        </w:tc>
        <w:tc>
          <w:tcPr>
            <w:tcW w:type="dxa" w:w="2492"/>
          </w:tcPr>
          <w:p>
            <w:pPr>
              <w:pStyle w:val="null3"/>
            </w:pPr>
            <w:r>
              <w:rPr/>
              <w:t>投入本项目的专业服务团队人员满足要求，应包括①配备人员数量，②专业人员配置齐全、③人员安排分工明确；每提供一项得1-3分；最高得9分。 注：1、各磋商小组成员独立打分。 2、磋商小组成员打分超过得分界限或未按本表规定赋分时，该磋商小组成员的打分无效，不计入汇总分。 3、若出现综合得分相同的，按磋商报价由低到高顺序排列名次；得分且磋商报价相同的，按技术指标得分顺序排列名次。 4、最终结果数字保留二位小数，第三位“四舍五入”。 5、若有漏项或有较大问题的分项，经三分之二以上评委同意该分项得0分。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具有2021年4月至今的类似项目业绩（以合同签订日期为准），以合同复印件为准。每个业绩计5分，2个以上（含2个）计10分。 注：1、各磋商小组成员独立打分。 2、磋商小组成员打分超过得分界限或未按本表规定赋分时，该磋商小组成员的打分无效，不计入汇总分。 3、若出现综合得分相同的，按磋商报价由低到高顺序排列名次；得分且磋商报价相同的，按技术指标得分顺序排列名次。 4、最终结果数字保留二位小数，第三位“四舍五入”。 5、若有漏项或有较大问题的分项，经三分之二以上评委同意该分项得0分。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针对本项目特点，提供本项目服务承诺，应包含①服务目标，②服务效果③拟投入的设备④服务过程中的人员到岗情况，每提供一项得1-3分，最高得12分。 注：1、各磋商小组成员独立打分。 2、磋商小组成员打分超过得分界限或未按本表规定赋分时，该磋商小组成员的打分无效，不计入汇总分。 3、若出现综合得分相同的，按磋商报价由低到高顺序排列名次；得分且磋商报价相同的，按技术指标得分顺序排列名次。 4、最终结果数字保留二位小数，第三位“四舍五入”。 5、若有漏项或有较大问题的分项，经三分之二以上评委同意该分项得0分。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最低有效报价得10分。以本次最低有效投标报价为基准价，投标报价得分=(基准价÷投标报价)×价格分值。</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详见附件：合同条款-房屋建筑（含装饰装修）工程质量监督检查第三方服务.docx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