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sz w:val="40"/>
          <w:szCs w:val="36"/>
          <w:lang w:val="en-US" w:eastAsia="zh-CN"/>
        </w:rPr>
      </w:pPr>
      <w:r>
        <w:rPr>
          <w:rFonts w:hint="eastAsia"/>
          <w:sz w:val="40"/>
          <w:szCs w:val="36"/>
          <w:lang w:val="en-US" w:eastAsia="zh-CN"/>
        </w:rPr>
        <w:t>采购内容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一、项目概况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0" w:line="480" w:lineRule="auto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本项目为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辖区内部分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小区集中新建及维修一批全民健身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路径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拟采购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四级压腿器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腿部按摩器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单杠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双人扭腰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设施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采购内容(包括采购品目、和数量)</w:t>
      </w:r>
    </w:p>
    <w:tbl>
      <w:tblPr>
        <w:tblStyle w:val="5"/>
        <w:tblW w:w="81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637"/>
        <w:gridCol w:w="900"/>
        <w:gridCol w:w="5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四级压腿器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1、立柱规格不小于φ114×3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2、承载横梁不小于φ60×3mm钢管；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3、需采用五立柱四横杆结构，可供四人同时使用；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腿部按摩器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2.主要支撑横梁不小于Ф60×3mm；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4.用于握持的支撑部位的横截面在任何方向上尺寸大于等于16且小于等于45mm；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2"/>
              </w:num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立柱规格不小于φ114×3 mm钢管；</w:t>
            </w:r>
          </w:p>
          <w:p>
            <w:pPr>
              <w:numPr>
                <w:ilvl w:val="0"/>
                <w:numId w:val="2"/>
              </w:num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承载横梁不小于φ30mm；</w:t>
            </w:r>
          </w:p>
          <w:p>
            <w:pPr>
              <w:numPr>
                <w:ilvl w:val="0"/>
                <w:numId w:val="0"/>
              </w:num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器材使用宽度≥1200mm；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、杠面高度在1500～2400mm之间；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、器材为直埋式；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双人扭腰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1、立柱规格不小于φ114×3 </w:t>
            </w: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mm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钢管；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2、承载横梁不小于φ38×3mm钢管；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3、</w:t>
            </w: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把手端部直径≥50mm；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4、用于握持的支撑部位的横截面在任何方向上尺寸大于等于16mm且小于等于45mm；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5、脚或腿的卡夹活动部件底面与地面或其它部件的间距≥80mm；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6、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站立使用的单脚防滑面面积≥30000mm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三人扭腰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立柱规格不小于Ф114×3mm；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主要支撑横梁不小于Ф32×3mm；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各支撑人体的表面所有棱边和尖角的半径不小于3.0mm；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易接触的零部件的其他所有棱边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予以圆弧过渡或加以防护；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用于握持的支撑部位的横截面在任何方向上尺寸大于等于16且小于等于45mm；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活动部件底面与地面或其他部件的间距应大于80mm；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双人漫步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（核心产品）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立柱规格不小于Ф114×3mm；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主要支撑横梁不小于70×50×3mm；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各支撑人体的表面所有棱边和尖角的半径不小于3.0mm;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易接触的零部件的其他所有棱边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予以圆弧过渡或加以防护；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用于握持的支撑部位的横截面在任何方向上尺寸大于等于16且小于等于45mm；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活动部件与邻近的活动部件或固定部件之间的间距不小于60mm；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摆动部件下缘距地面或底面最小高度大于80mm，相邻运动的两踏板的间距大于100mm；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腰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立柱规格不小于Φ114mm×3mm</w:t>
            </w:r>
          </w:p>
          <w:p>
            <w:pPr>
              <w:pStyle w:val="2"/>
              <w:numPr>
                <w:ilvl w:val="0"/>
                <w:numId w:val="0"/>
              </w:numPr>
              <w:spacing w:line="22" w:lineRule="atLeast"/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kern w:val="2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主要承载横梁不小于Φ60mm×3mm</w:t>
            </w:r>
          </w:p>
          <w:p>
            <w:pPr>
              <w:spacing w:line="22" w:lineRule="atLeas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.把手端部直径不小于50mm；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单人收腹板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立柱规格不小于Ф60×3mm；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主要支撑横梁不小于Ф42×3mm；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各支撑人体的表面所有棱边和尖角的半径不小于3.0mm；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肩关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立柱规格不小于Ф114×3mm；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主要承载横梁不小于Ф60×3mm；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各支撑人体的表面所有棱边和尖角的半径不小于3.0mm；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（核心产品）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1、立柱规格不小于φ114×3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2、承载横梁不小于φ42×3mm钢管；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3、两杠内侧距离在390～550mm之间；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4、杠长在2000～2500之间；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5、相应的纵向立柱中心距在1200～1500之间；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6、杠面高度在1200～1700之间；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7、横杠的外径≤50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伸腰伸背器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2.主要承载横梁不小于40×40×3mm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3.器材各支撑人体的表面所有棱边和尖角半径不小于3.0mm；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腿部按摩器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2.主要支撑横梁不小于Ф60×3mm；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4.易接触的零部件的其他所有棱边需予以圆弧过渡或加以防护；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5.用于握持的支撑部位的横截面在任何方向上尺寸大于等于16且小于等于45mm；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肋木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 承载横梁不小于32×3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3、横杆距地面高度大于400mm的完全闭合开口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3、器材使用宽度≥1000mm;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上肢牵引器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2.主要支撑横梁不小于Ф76×3mm；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5.易接触的其他零部件的棱边予以圆弧过渡或加以防护；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6.把手端部直径不小于50mm；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7.用于握持的支撑部位的横截面在任何方向上尺寸大于等于16mm且小于等于45mm；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8.器材承受主要载荷的牵索、连接构环、连接接头的抗拉力≥14000N；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上肢扭腰腿部按摩器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1、立柱规格不小于φ114×3 mm的国标钢管；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2、承载横梁不小于φ32×3mm国标钢管，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3、脚或腿的卡夹活动部件底面与地面或其它部件的间距≥80mm；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4、站立使用的单脚防滑面面积≥30000m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6、扭腰盘上表面边缘以R不小于3mm的圆弧过渡；扭腰盘下部棱边以R不小于2mm的半圆弧予以过渡，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双人坐凳训练器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1.立柱规格不小于φ114×3.0mm；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2.主要承载横梁不小于φ60×3.0mm；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 各支撑人体的表面所有棱边和尖角的半径不小于3.0mm;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提示牌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2.主要支撑横梁不小于40×20×3.00mm；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3.器材各支撑人体的表面所有棱边和尖角的半径不小于3.0mm；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4.易接触的零部件的其他所有棱边予以圆弧过渡或加以防护；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划船器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1、立柱规格不小于φ114×3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2、承载横梁不小于φ60×3mm钢管；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3、器材为直埋式；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4、把手端部直径≥50mm；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5、用于握持的支撑部位的横截面在任何方向上尺寸大于等于16mm且小于等于45mm；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6、脚或腿的卡夹活动部件底面与其它部件的间距≥120mm；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棋牌桌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2.承载横梁不小于50×25×2.0mm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3.桌面为不锈钢面板厚度不小于1.2mm，棋盘线为不小于黑色3mm线条.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伸背架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2.主要承载横梁不小于40×40×3mm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3.器材各支撑人体的表面所有棱边和尖角半径不小于3.0mm；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照明大灯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1.灯具功率200W，额定电压：220v/50-60Hz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2.使用寿命210万小时以上，灯杆高8米，采用国标Q355B高强度钢板，高杆上口径为不小于60mm、下口径为不小于150mm、壁厚不小于4mm。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乒乓球案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1.立柱规格不小于Ф60×3mm；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2.主要支撑横梁不小于30×20×2.00mm；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3.安装方式：预埋式;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 w:fill="FFFFFF" w:themeFill="background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台长2740mm；台宽1525mm；台面离地高度760mm；球台边框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 w:fill="FFFFFF" w:themeFill="background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厚度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 w:fill="FFFFFF" w:themeFill="background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15～100mm；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半张台面两对角线之差小于4mm；半张台面平面度小于5mm；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护网3米高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浸塑勾花网丝径2.5mm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包塑后丝径不小于3mm，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勾花网孔径不大于50mm，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围网系统的主立柱采用φ76×3mm的国标钢管，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立柱间距不大于3米，高度不小于4米；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双位坐推训练器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1、立柱选用不小于φ114×3 mm的国标钢管；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2、承载横梁选用不小于φ60×3 mm的国标钢管，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自重推举转动部位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采用内限位结构；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4、座椅板采用厚度4mm；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5、器材为直埋式；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立式腰部按摩器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1.立柱规格不小于Φ114mm×3mm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2.主要承载横梁不小于Φ60mm×3mm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3.把手端部直径不小于50mm；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健骑机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2.主要支撑横梁不小于Ф60×3mm；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4.易接触的其他零部件的棱边予以圆弧过渡；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5.把手端部直径≥50mm；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6.用于握持的支撑部位的横截面在任何方向上尺寸大于等于16mm且小于等于45mm；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7.活动部件底面与地面或其他部件的间距≥80mm；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高低杠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1、立柱规格不小于114×3 mm钢管；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 承载横梁不小于φ30mm圆钢；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 器材使用宽度≥1200mm;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 器材为直埋式；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太极揉腰器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1.立柱规格不小于Ф114×3mm；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2.主要承载横梁不小于Ф60×3mm；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.各支撑人体的表面所有棱边和尖角的半径不小于3.0mm；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.易接触的其他零部件的棱边予以圆弧过渡或加以防护；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.设置有止超速运转的阻尼装置；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护网3米高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.浸塑勾花网丝径不小于2.5mm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2.包塑后丝径不小于3mm，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3.勾花网孔径不大于50mm，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4.围网系统的主立柱采用φ76×3mm的国标钢管，立柱间距不大于3米，高度不小于4米；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篮球牌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16"/>
                <w:szCs w:val="1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（核心产品）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1、立柱规格不小于150×150×4 mm钢管；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2、承载横梁不小于150×150×4 mm钢管；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、篮板选用1800mm×1050mm的矩形篮板，篮板面板厚度为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5mm，翻边宽度为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50mm，翻边厚度为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7.8mm，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、具有调节篮板垂直度的结构。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、篮板投篮区背面有570mm×150mm×5mm的加强钢板，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、篮圈：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国标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不小于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直径18圆钢，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羽毛球柱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1.铸铁底座，立柱采用直径60mm壁厚不小于2.5mm国标钢管；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2.网柱高度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不小于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1.55米。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护网3米高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浸塑勾花网丝径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不小于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包塑后丝径不小于3mm，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勾花网孔径不大于50mm，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围网系统的主立柱采用φ76×3mm的国标钢管，立柱间距不大于3米，高度不小于4米；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双人坐推训练器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1、立柱选用不小于φ114×3 mm的国标钢管；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2、承载横梁选用不小于φ60×3 mm的国标钢管，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、自重推举转动部位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shd w:val="clear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采用内限位结构；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4、座椅板采用厚度4mm；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5、器材为直埋式；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护网1.8米高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浸塑勾花网丝径2.5mm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包塑后丝径不小于3mm，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勾花网孔径不大于50mm，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围网系统的主立柱采用φ76×3mm的国标钢管，立柱间距不大于3米，高度不小于4米；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伸腰拉筋训练器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1.立柱采用不小于Ф60×3mm的国标圆管；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2.主要承载横梁不小于Ф42×3mm的国标圆管；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3.各支撑人体表面的所有棱边和尖角的半径不小于3.0mm；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护网3米高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浸塑勾花网丝径2.5mm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包塑后丝径不小于3mm，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勾花网孔径不大于50mm，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yellow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围网系统的主立柱采用φ76×3mm的国标钢管，立柱间距不大于3米，高度不小于4米；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基层水泥或沥青地面找平（用3m直尺测量±3mm），无明显坑、鼓；无需防水处理，±30°环境都可以施工。安装拆卸简单，无需使用胶类。可直接铺放在平整的地面上，地板间子母扣连接（工具最好使用橡皮锤，对地板无伤害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2.场地划线使用聚丙烯面层专用漆，不脱落。圆形区域突出部分，涂上和主体颜色相同的面层专用漆即可。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3.拼装地板伸缩系数为2%-3%，所以场地四周需留出一定热胀冷缩的伸缩区（大约5㎝左右宽），可根据场地面积配备边条，边条宽5㎝/长25cm,起到美观固定效果。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168.76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悬浮地板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现硅皮油拆除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1、使用温度湿度计检测温湿度，室内温度以及地表温度以15℃为宜，不应在5℃以下及30℃以上施工。宜于施工的相对空气湿度应界于20%-75%之间。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2、使用含水率测试仪检测基层的含水率，基层的含水率应小于3%。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3、基层的强度不应低于混凝土强度C-20的要求，否则应采用适合的自流平来加强强度。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4、用硬度测试仪检测结果应是基层的表面硬度不低于1、2兆帕。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5、对于PVC地板材料的施工，基层的不平整度应在2米直尺范围内高低落差小于2毫米，否则应采用适合的自流平进行找平。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现硅皮油拆除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硅皮油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  <w:tc>
          <w:tcPr>
            <w:tcW w:w="5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1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60" w:lineRule="auto"/>
              <w:ind w:firstLine="0" w:firstLineChars="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</w:rPr>
              <w:t>1.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  <w:t>所有室外健身器材均需通过NSCC国体认证，GB19272-2011《室外健身器材的安全通用要求》，提供产品认证证书复印件并加盖生产企业公章。</w:t>
            </w:r>
          </w:p>
          <w:p>
            <w:pPr>
              <w:pStyle w:val="13"/>
              <w:numPr>
                <w:ilvl w:val="0"/>
                <w:numId w:val="0"/>
              </w:numPr>
              <w:spacing w:line="360" w:lineRule="auto"/>
              <w:ind w:firstLine="0" w:firstLineChars="0"/>
              <w:rPr>
                <w:rFonts w:hint="eastAsia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</w:rPr>
              <w:t>2.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  <w:t>所有室外健身器材均需投保，并提供相应的证明材料，质保期8年。</w:t>
            </w:r>
          </w:p>
          <w:p>
            <w:pPr>
              <w:pStyle w:val="13"/>
              <w:numPr>
                <w:ilvl w:val="0"/>
                <w:numId w:val="0"/>
              </w:numPr>
              <w:spacing w:line="360" w:lineRule="auto"/>
              <w:ind w:firstLine="0" w:firstLineChars="0"/>
              <w:rPr>
                <w:rFonts w:hint="default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  <w:t>3.悬浮地板与硅皮油-须提供国家认可的检测机构出具的检测报告复印件并加盖公章。</w:t>
            </w:r>
          </w:p>
          <w:p>
            <w:pPr>
              <w:pStyle w:val="13"/>
              <w:numPr>
                <w:ilvl w:val="0"/>
                <w:numId w:val="0"/>
              </w:numPr>
              <w:spacing w:line="36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18"/>
                <w:highlight w:val="none"/>
                <w:lang w:val="en-US" w:eastAsia="zh-CN"/>
              </w:rPr>
              <w:t>所有产品的规格型号、技术指标、配置应满足采购需求并相应的功能证明材料等。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三、技术要求(包括对产品的认证、检验报告等)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1.所有室外健身器材均需通过NSCC国体认证，GB19272-2011《室外健身器材的安全通用要求》，提供产品认证证书复印件并加盖生产企业公章。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2.所有室外健身器材均需投保，并提供相应的证明材料，质保期8年。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line="480" w:lineRule="auto"/>
        <w:ind w:firstLine="240" w:firstLineChars="100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3.悬浮地板与硅皮油-须提供国家认可的检测机构出具的检测报告复印件并加盖公章。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240" w:firstLineChars="100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4.所有产品的规格型号、技术指标、配置应满足采购需求并相应的功能证明材料等。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四、服务要求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供应商签订合同后，根据采购人的采购需要、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设备规格和型号进行采购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型号、规格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错误等原因由供应商负责。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五、商务要求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交货期：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自合同签订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之日起40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个日历日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2.中小企业中标付款方式： 合同签订后采购人支付40%合同金额的预付款。产品安装调试经采购人验收合格后一次性支付剩余60%合同金额的余款。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六、其他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)质量验收标准或规范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符合《GB 19272-2011室外健身器材的安全通用要求》的相关标准。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符合现行的国家标准或国家行政部门颁布的法律法规、规章制度等。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)产品质保期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质保期：产品验收合格后不少于8年。</w:t>
      </w:r>
    </w:p>
    <w:p>
      <w:pPr>
        <w:pStyle w:val="3"/>
        <w:numPr>
          <w:ilvl w:val="0"/>
          <w:numId w:val="0"/>
        </w:numPr>
        <w:ind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履约验收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（如有）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本项目供应商提出验收申请后，需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组织进行验收，按竞争性谈判文件、竞争性谈判响应文件及澄清函等技术指标进行验收，各项指标均应符合验收标准及要求，涉及履约验收的，验收费用由成交供应商支付，费用标准按中标金额的5‰计算，不足5000元的，按5000元收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)违约责任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（1）按《民法典》中的相关条款执行。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（2）未按合同要求提供服务或服务质量不能满足合同要求，采购人有权依据《民法典》有关条款及合同约定终止合同，并要求中标供应商承担违约责任。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（3）中标供应商未按合同约定的交货日期交货的，每逾期一个日历日，向采购人支付逾期交付货物价款的3%的违约金，但不超过合同总金额10%。中标供应商支付逾期交货违约金并不免除其交货的责任。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（4）如中标供应商在政府采购合同规定的交货日期后 4 个日历日后仍未能交货，则视为中标供应商不能交货，采购人有权解除政府采购合同，中标供应商除退还已收取的货款外，还应向采购人偿付政府采购合同总金额 30%的违约金，并承担由此给采购人造成的一切损失。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（5）中标供应商所交付货物及伴随的工程或服务不符合其投标承诺，存在偷工减料、以次充好情形的，采购人要求更换一次后仍不符合约定的， 采购人有权解除政府采购合同，并将有关情况上报政府采购监管部门处理。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4546E"/>
    <w:multiLevelType w:val="singleLevel"/>
    <w:tmpl w:val="1394546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0FEB15"/>
    <w:multiLevelType w:val="singleLevel"/>
    <w:tmpl w:val="590FEB1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AB045B2"/>
    <w:rsid w:val="025263E9"/>
    <w:rsid w:val="029F7154"/>
    <w:rsid w:val="03137E00"/>
    <w:rsid w:val="03327FC8"/>
    <w:rsid w:val="038453F3"/>
    <w:rsid w:val="05151950"/>
    <w:rsid w:val="05687CD1"/>
    <w:rsid w:val="05B253F0"/>
    <w:rsid w:val="05B66C8F"/>
    <w:rsid w:val="07B83709"/>
    <w:rsid w:val="07DC6755"/>
    <w:rsid w:val="08C555E0"/>
    <w:rsid w:val="0A807AA2"/>
    <w:rsid w:val="0AB045B2"/>
    <w:rsid w:val="0BFE6C9A"/>
    <w:rsid w:val="0C3769BB"/>
    <w:rsid w:val="0EB9159E"/>
    <w:rsid w:val="0F3D3F7D"/>
    <w:rsid w:val="0F5500B5"/>
    <w:rsid w:val="0F6C03BE"/>
    <w:rsid w:val="11230F50"/>
    <w:rsid w:val="15997A33"/>
    <w:rsid w:val="15AE1730"/>
    <w:rsid w:val="164E081E"/>
    <w:rsid w:val="16B452D1"/>
    <w:rsid w:val="16C60CFC"/>
    <w:rsid w:val="17A4103D"/>
    <w:rsid w:val="17C3523B"/>
    <w:rsid w:val="18934C0E"/>
    <w:rsid w:val="1C343D2E"/>
    <w:rsid w:val="1DC27907"/>
    <w:rsid w:val="1DE52CBA"/>
    <w:rsid w:val="1E831280"/>
    <w:rsid w:val="1ECC70CB"/>
    <w:rsid w:val="1F073C5F"/>
    <w:rsid w:val="21570ECE"/>
    <w:rsid w:val="225D05FC"/>
    <w:rsid w:val="23156042"/>
    <w:rsid w:val="251028BA"/>
    <w:rsid w:val="2547125A"/>
    <w:rsid w:val="255B4D05"/>
    <w:rsid w:val="25E46AA9"/>
    <w:rsid w:val="274F2647"/>
    <w:rsid w:val="29F23E8A"/>
    <w:rsid w:val="2A950CB9"/>
    <w:rsid w:val="2BD55811"/>
    <w:rsid w:val="2D4349FC"/>
    <w:rsid w:val="2E8C231D"/>
    <w:rsid w:val="2F9C6646"/>
    <w:rsid w:val="30201025"/>
    <w:rsid w:val="309D292B"/>
    <w:rsid w:val="30C67B39"/>
    <w:rsid w:val="31B25CAD"/>
    <w:rsid w:val="31EB11BF"/>
    <w:rsid w:val="32084091"/>
    <w:rsid w:val="34F565DC"/>
    <w:rsid w:val="355F614C"/>
    <w:rsid w:val="36AC53C0"/>
    <w:rsid w:val="37353608"/>
    <w:rsid w:val="375B2943"/>
    <w:rsid w:val="37CD3840"/>
    <w:rsid w:val="39FB1C3D"/>
    <w:rsid w:val="3B331C0C"/>
    <w:rsid w:val="3B783AC3"/>
    <w:rsid w:val="3B8C1904"/>
    <w:rsid w:val="3C8D17F0"/>
    <w:rsid w:val="3CCB61E2"/>
    <w:rsid w:val="3D8B71A1"/>
    <w:rsid w:val="3DE6740A"/>
    <w:rsid w:val="3E714B1B"/>
    <w:rsid w:val="3EC139D3"/>
    <w:rsid w:val="3F03223E"/>
    <w:rsid w:val="3F7F0848"/>
    <w:rsid w:val="3FB0665D"/>
    <w:rsid w:val="4013200C"/>
    <w:rsid w:val="40303B2B"/>
    <w:rsid w:val="40464190"/>
    <w:rsid w:val="42EB101F"/>
    <w:rsid w:val="437F0AC4"/>
    <w:rsid w:val="439A26DB"/>
    <w:rsid w:val="444A7FC7"/>
    <w:rsid w:val="44662BE2"/>
    <w:rsid w:val="45352A25"/>
    <w:rsid w:val="46BD7176"/>
    <w:rsid w:val="480E45DA"/>
    <w:rsid w:val="48CC0CCE"/>
    <w:rsid w:val="497955D6"/>
    <w:rsid w:val="4ABB1C1E"/>
    <w:rsid w:val="4B337A07"/>
    <w:rsid w:val="4B5C51AF"/>
    <w:rsid w:val="4B72052F"/>
    <w:rsid w:val="4C1710D6"/>
    <w:rsid w:val="4CC36B68"/>
    <w:rsid w:val="4D316E02"/>
    <w:rsid w:val="4D6E1E82"/>
    <w:rsid w:val="4D7A36CB"/>
    <w:rsid w:val="4E92788A"/>
    <w:rsid w:val="50C8299F"/>
    <w:rsid w:val="50CC434E"/>
    <w:rsid w:val="519F1952"/>
    <w:rsid w:val="5237602E"/>
    <w:rsid w:val="54AD082A"/>
    <w:rsid w:val="557C66EB"/>
    <w:rsid w:val="565A678F"/>
    <w:rsid w:val="566E223B"/>
    <w:rsid w:val="56E322E1"/>
    <w:rsid w:val="58E862D4"/>
    <w:rsid w:val="59A3044D"/>
    <w:rsid w:val="5B5C09F2"/>
    <w:rsid w:val="5CEB6393"/>
    <w:rsid w:val="5CF3349A"/>
    <w:rsid w:val="5D6F0D72"/>
    <w:rsid w:val="5F1D035A"/>
    <w:rsid w:val="60755203"/>
    <w:rsid w:val="60964EA2"/>
    <w:rsid w:val="61E57855"/>
    <w:rsid w:val="62235081"/>
    <w:rsid w:val="633D2BC4"/>
    <w:rsid w:val="635D166D"/>
    <w:rsid w:val="63DB77D1"/>
    <w:rsid w:val="64405216"/>
    <w:rsid w:val="64994927"/>
    <w:rsid w:val="64D4595F"/>
    <w:rsid w:val="65A417D5"/>
    <w:rsid w:val="65E9368C"/>
    <w:rsid w:val="665F56FC"/>
    <w:rsid w:val="672E75A8"/>
    <w:rsid w:val="67AB0BF9"/>
    <w:rsid w:val="681C5653"/>
    <w:rsid w:val="690031C6"/>
    <w:rsid w:val="692A4825"/>
    <w:rsid w:val="6AB630AE"/>
    <w:rsid w:val="6B4A697B"/>
    <w:rsid w:val="6C9F4AA4"/>
    <w:rsid w:val="6E0F7A08"/>
    <w:rsid w:val="703D6AAE"/>
    <w:rsid w:val="725B47D8"/>
    <w:rsid w:val="73140DD3"/>
    <w:rsid w:val="737F2F3A"/>
    <w:rsid w:val="73B057E9"/>
    <w:rsid w:val="744877CF"/>
    <w:rsid w:val="74A52E74"/>
    <w:rsid w:val="757271FA"/>
    <w:rsid w:val="782B59C6"/>
    <w:rsid w:val="784604CA"/>
    <w:rsid w:val="78DE6954"/>
    <w:rsid w:val="790939D1"/>
    <w:rsid w:val="799040F2"/>
    <w:rsid w:val="79CB512B"/>
    <w:rsid w:val="7BB1079A"/>
    <w:rsid w:val="7D0A619A"/>
    <w:rsid w:val="7D9121E7"/>
    <w:rsid w:val="7DCB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Cs w:val="20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autoRedefine/>
    <w:qFormat/>
    <w:uiPriority w:val="0"/>
    <w:rPr>
      <w:rFonts w:ascii="楷体_GB2312" w:hAnsi="Copperplate Gothic Bold" w:eastAsia="楷体_GB2312"/>
      <w:kern w:val="2"/>
      <w:sz w:val="2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3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 w:cs="黑体"/>
      <w:szCs w:val="22"/>
    </w:rPr>
  </w:style>
  <w:style w:type="paragraph" w:customStyle="1" w:styleId="10">
    <w:name w:val="列出段落6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  <w:style w:type="paragraph" w:customStyle="1" w:styleId="11">
    <w:name w:val="列出段落2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  <w:style w:type="paragraph" w:customStyle="1" w:styleId="12">
    <w:name w:val="列出段落7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  <w:style w:type="paragraph" w:customStyle="1" w:styleId="13">
    <w:name w:val="列出段落31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  <w:style w:type="paragraph" w:customStyle="1" w:styleId="14">
    <w:name w:val="列出段落5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4977</Words>
  <Characters>5916</Characters>
  <Lines>0</Lines>
  <Paragraphs>0</Paragraphs>
  <TotalTime>10</TotalTime>
  <ScaleCrop>false</ScaleCrop>
  <LinksUpToDate>false</LinksUpToDate>
  <CharactersWithSpaces>6050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2024-04-24T03:02:00Z</dcterms:created>
  <dc:creator>浙江新奥孙兵兵</dc:creator>
  <cp:lastModifiedBy>biubiubiu～</cp:lastModifiedBy>
  <dcterms:modified xsi:type="dcterms:W3CDTF">2024-05-17T08:04:18Z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9EC47ED7874440AF80506D68A72AC22A</vt:lpwstr>
  </property>
</Properties>
</file>