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（服务类）</w:t>
      </w:r>
      <w:r>
        <w:br/>
      </w:r>
      <w:r>
        <w:br/>
      </w:r>
      <w:r>
        <w:br/>
      </w:r>
      <w:r>
        <w:br/>
      </w:r>
      <w:r>
        <w:br/>
      </w:r>
      <w:r>
        <w:br/>
      </w:r>
      <w:r>
        <w:br/>
      </w:r>
      <w:r>
        <w:br/>
      </w:r>
      <w:r>
        <w:br/>
      </w:r>
      <w:r>
        <w:br/>
      </w:r>
      <w:r>
        <w:br/>
      </w:r>
    </w:p>
    <w:p>
      <w:pPr>
        <w:pStyle w:val="null3"/>
        <w:jc w:val="center"/>
        <w:outlineLvl w:val="2"/>
      </w:pPr>
      <w:r>
        <w:rPr>
          <w:b/>
          <w:sz w:val="28"/>
        </w:rPr>
        <w:t>采购项目名称：</w:t>
      </w:r>
      <w:r>
        <w:rPr>
          <w:b/>
          <w:sz w:val="28"/>
        </w:rPr>
        <w:t>雁塔区民政局精神障碍社区康复服务项目</w:t>
      </w:r>
    </w:p>
    <w:p>
      <w:pPr>
        <w:pStyle w:val="null3"/>
        <w:jc w:val="center"/>
        <w:outlineLvl w:val="2"/>
      </w:pPr>
      <w:r>
        <w:rPr>
          <w:b/>
          <w:sz w:val="28"/>
        </w:rPr>
        <w:t>采购项目编号：</w:t>
      </w:r>
      <w:r>
        <w:rPr>
          <w:b/>
          <w:sz w:val="28"/>
        </w:rPr>
        <w:t>ZCXG-ZB-202450</w:t>
      </w:r>
      <w:r>
        <w:br/>
      </w:r>
      <w:r>
        <w:br/>
      </w:r>
      <w:r>
        <w:br/>
      </w:r>
    </w:p>
    <w:p>
      <w:pPr>
        <w:pStyle w:val="null3"/>
        <w:jc w:val="center"/>
        <w:outlineLvl w:val="2"/>
      </w:pPr>
      <w:r>
        <w:rPr>
          <w:b/>
          <w:sz w:val="28"/>
        </w:rPr>
        <w:t>西安市雁塔区民政局</w:t>
      </w:r>
    </w:p>
    <w:p>
      <w:pPr>
        <w:pStyle w:val="null3"/>
        <w:jc w:val="center"/>
        <w:outlineLvl w:val="2"/>
      </w:pPr>
      <w:r>
        <w:rPr>
          <w:b/>
          <w:sz w:val="28"/>
        </w:rPr>
        <w:t>陕西众诚项目管理有限公司</w:t>
      </w:r>
      <w:r>
        <w:rPr>
          <w:b/>
          <w:sz w:val="28"/>
        </w:rPr>
        <w:t>共同编制</w:t>
      </w:r>
    </w:p>
    <w:p>
      <w:pPr>
        <w:pStyle w:val="null3"/>
        <w:jc w:val="center"/>
        <w:outlineLvl w:val="2"/>
      </w:pPr>
      <w:r>
        <w:rPr>
          <w:b/>
          <w:sz w:val="28"/>
        </w:rPr>
        <w:t>2024年05月06日</w:t>
      </w:r>
    </w:p>
    <w:p>
      <w:pPr>
        <w:pStyle w:val="null3"/>
      </w:pPr>
      <w:r>
        <w:rPr/>
        <w:t xml:space="preserve"> </w:t>
        <w:br/>
        <w:br w:type="page"/>
      </w:r>
    </w:p>
    <w:p>
      <w:pPr>
        <w:pStyle w:val="null3"/>
        <w:jc w:val="center"/>
        <w:outlineLvl w:val="1"/>
      </w:pPr>
      <w:r>
        <w:rPr>
          <w:b/>
          <w:sz w:val="36"/>
        </w:rPr>
        <w:t>第一章 竞争性磋商邀请</w:t>
      </w:r>
    </w:p>
    <w:p>
      <w:pPr>
        <w:pStyle w:val="null3"/>
        <w:ind w:firstLine="480"/>
      </w:pPr>
      <w:r>
        <w:rPr/>
        <w:t>陕西众诚项目管理有限公司</w:t>
      </w:r>
      <w:r>
        <w:rPr/>
        <w:t>（以下简称“代理机构”）受</w:t>
      </w:r>
      <w:r>
        <w:rPr/>
        <w:t>西安市雁塔区民政局</w:t>
      </w:r>
      <w:r>
        <w:rPr/>
        <w:t>委托，拟对</w:t>
      </w:r>
      <w:r>
        <w:rPr/>
        <w:t>雁塔区民政局精神障碍社区康复服务项目</w:t>
      </w:r>
      <w:r>
        <w:rPr/>
        <w:t>采用竞争性磋商采购方式进行采购，兹邀请供应商参加本项目的竞争性磋商。</w:t>
      </w:r>
    </w:p>
    <w:p>
      <w:pPr>
        <w:pStyle w:val="null3"/>
        <w:outlineLvl w:val="2"/>
      </w:pPr>
      <w:r>
        <w:rPr>
          <w:b/>
          <w:sz w:val="28"/>
        </w:rPr>
        <w:t>一、项目编号：</w:t>
      </w:r>
      <w:r>
        <w:rPr>
          <w:b/>
          <w:sz w:val="28"/>
        </w:rPr>
        <w:t>ZCXG-ZB-202450</w:t>
      </w:r>
    </w:p>
    <w:p>
      <w:pPr>
        <w:pStyle w:val="null3"/>
        <w:outlineLvl w:val="2"/>
      </w:pPr>
      <w:r>
        <w:rPr>
          <w:b/>
          <w:sz w:val="28"/>
        </w:rPr>
        <w:t>二、项目名称：</w:t>
      </w:r>
      <w:r>
        <w:rPr>
          <w:b/>
          <w:sz w:val="28"/>
        </w:rPr>
        <w:t>雁塔区民政局精神障碍社区康复服务项目</w:t>
      </w:r>
    </w:p>
    <w:p>
      <w:pPr>
        <w:pStyle w:val="null3"/>
        <w:outlineLvl w:val="2"/>
      </w:pPr>
      <w:r>
        <w:rPr>
          <w:b/>
          <w:sz w:val="28"/>
        </w:rPr>
        <w:t>三、磋商项目简介</w:t>
      </w:r>
    </w:p>
    <w:p>
      <w:pPr>
        <w:pStyle w:val="null3"/>
        <w:ind w:firstLine="480"/>
      </w:pPr>
      <w:r>
        <w:rPr/>
        <w:t>雁塔区民政局精神障碍社区康复服务项目</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1、营业执照：具有独立承担民事责任能力的法人、其他组织 或自然人，并出具合法有效的营业执照或事业 单位法人证书等国家规定的相关证明，自然人 参与的提供其身份证明。</w:t>
      </w:r>
    </w:p>
    <w:p>
      <w:pPr>
        <w:pStyle w:val="null3"/>
      </w:pPr>
      <w:r>
        <w:rPr/>
        <w:t>2、纳税证明：提供磋商截止日前一年内已缴纳的至少一个月的纳税证明或完税证明，依法免税的单位应提供相关证明材料。</w:t>
      </w:r>
    </w:p>
    <w:p>
      <w:pPr>
        <w:pStyle w:val="null3"/>
      </w:pPr>
      <w:r>
        <w:rPr/>
        <w:t>3、社保证明：提供磋商截止日前一年内已缴存的至少一个月的社会保障资金缴存单据或社保机构开具的社会保险参保缴费情况证明，依法不需要缴纳社会保障资金的单位应提供相关证明材料。</w:t>
      </w:r>
    </w:p>
    <w:p>
      <w:pPr>
        <w:pStyle w:val="null3"/>
      </w:pPr>
      <w:r>
        <w:rPr/>
        <w:t>4、三年无违法声明：参加政府采购活动前3年内，在经营活动中没有重大违法记录的书面声明。</w:t>
      </w:r>
    </w:p>
    <w:p>
      <w:pPr>
        <w:pStyle w:val="null3"/>
      </w:pPr>
      <w:r>
        <w:rPr/>
        <w:t>5、履约能力声明：提供具有履行合同所必需的设备和专业技术能力的承诺。</w:t>
      </w:r>
    </w:p>
    <w:p>
      <w:pPr>
        <w:pStyle w:val="null3"/>
      </w:pPr>
      <w:r>
        <w:rPr/>
        <w:t>6、身份证明：法定代表人授权书（附法定代表人、被授权人身份证复印件）及被授权人身份证（法定代表人直接参加磋商，须提供法定代表人身份证明及身份证原件）。</w:t>
      </w:r>
    </w:p>
    <w:p>
      <w:pPr>
        <w:pStyle w:val="null3"/>
      </w:pPr>
      <w:r>
        <w:rPr/>
        <w:t>7、非联合体声明：本项目不接受联合体投标</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b/>
          <w:sz w:val="28"/>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西安市雁塔区民政局</w:t>
      </w:r>
    </w:p>
    <w:p>
      <w:pPr>
        <w:pStyle w:val="null3"/>
      </w:pPr>
      <w:r>
        <w:rPr/>
        <w:t xml:space="preserve"> 地址： </w:t>
      </w:r>
      <w:r>
        <w:rPr/>
        <w:t>西安市雁塔区小寨东路168号</w:t>
      </w:r>
    </w:p>
    <w:p>
      <w:pPr>
        <w:pStyle w:val="null3"/>
      </w:pPr>
      <w:r>
        <w:rPr/>
        <w:t xml:space="preserve"> 邮编： </w:t>
      </w:r>
      <w:r>
        <w:rPr/>
        <w:t>/</w:t>
      </w:r>
    </w:p>
    <w:p>
      <w:pPr>
        <w:pStyle w:val="null3"/>
      </w:pPr>
      <w:r>
        <w:rPr/>
        <w:t xml:space="preserve"> 联系人： </w:t>
      </w:r>
      <w:r>
        <w:rPr/>
        <w:t>杨老师</w:t>
      </w:r>
    </w:p>
    <w:p>
      <w:pPr>
        <w:pStyle w:val="null3"/>
      </w:pPr>
      <w:r>
        <w:rPr/>
        <w:t xml:space="preserve"> 联系电话： </w:t>
      </w:r>
      <w:r>
        <w:rPr/>
        <w:t>/</w:t>
      </w:r>
    </w:p>
    <w:p>
      <w:pPr>
        <w:pStyle w:val="null3"/>
        <w:outlineLvl w:val="3"/>
      </w:pPr>
      <w:r>
        <w:rPr>
          <w:b/>
          <w:sz w:val="24"/>
        </w:rPr>
        <w:t>代理机构：</w:t>
      </w:r>
      <w:r>
        <w:rPr>
          <w:b/>
          <w:sz w:val="24"/>
        </w:rPr>
        <w:t>陕西众诚项目管理有限公司</w:t>
      </w:r>
    </w:p>
    <w:p>
      <w:pPr>
        <w:pStyle w:val="null3"/>
      </w:pPr>
      <w:r>
        <w:rPr/>
        <w:t xml:space="preserve"> 地址： </w:t>
      </w:r>
      <w:r>
        <w:rPr/>
        <w:t>西安市雁塔区南二环老三届世纪星大厦8楼k座</w:t>
      </w:r>
    </w:p>
    <w:p>
      <w:pPr>
        <w:pStyle w:val="null3"/>
      </w:pPr>
      <w:r>
        <w:rPr/>
        <w:t xml:space="preserve"> 邮编： </w:t>
      </w:r>
      <w:r>
        <w:rPr/>
        <w:t>/</w:t>
      </w:r>
    </w:p>
    <w:p>
      <w:pPr>
        <w:pStyle w:val="null3"/>
      </w:pPr>
      <w:r>
        <w:rPr/>
        <w:t xml:space="preserve"> 联系人： </w:t>
      </w:r>
      <w:r>
        <w:rPr/>
        <w:t>张工</w:t>
      </w:r>
    </w:p>
    <w:p>
      <w:pPr>
        <w:pStyle w:val="null3"/>
      </w:pPr>
      <w:r>
        <w:rPr/>
        <w:t xml:space="preserve"> 联系电话： </w:t>
      </w:r>
      <w:r>
        <w:rPr/>
        <w:t>029-88816603</w:t>
      </w:r>
    </w:p>
    <w:p>
      <w:pPr>
        <w:pStyle w:val="null3"/>
        <w:outlineLvl w:val="3"/>
      </w:pPr>
      <w:r>
        <w:rPr>
          <w:b/>
          <w:sz w:val="24"/>
        </w:rPr>
        <w:t>采购监督机构：</w:t>
      </w:r>
      <w:r>
        <w:rPr>
          <w:b/>
          <w:sz w:val="24"/>
        </w:rPr>
        <w:t>西安市雁塔区政府采购管理股</w:t>
      </w:r>
    </w:p>
    <w:p>
      <w:pPr>
        <w:pStyle w:val="null3"/>
        <w:ind w:firstLine="480"/>
      </w:pPr>
      <w:r>
        <w:rPr/>
        <w:t>联系人：</w:t>
      </w:r>
      <w:r>
        <w:rPr/>
        <w:t>王佳</w:t>
      </w:r>
    </w:p>
    <w:p>
      <w:pPr>
        <w:pStyle w:val="null3"/>
        <w:ind w:firstLine="480"/>
      </w:pPr>
      <w:r>
        <w:rPr/>
        <w:t>联系电话：</w:t>
      </w:r>
      <w:r>
        <w:rPr/>
        <w:t>85241676</w:t>
      </w:r>
    </w:p>
    <w:p>
      <w:pPr>
        <w:pStyle w:val="null3"/>
      </w:pPr>
      <w:r>
        <w:rPr/>
        <w:t xml:space="preserve"> </w:t>
        <w:br/>
        <w:br w:type="page"/>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采购包1：1,000,000.00元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代理服务费收费标准：1、按国家计委颁发的《招标代理服务收费管理暂行办法》（计价格[2002]1980号）和国家发展改革委员会办公厅颁发的《关于招标代理服务收费有关问题的通知》（发改办价格[2003]857号）的有关规定执行。 2、成交单位在领取成交通知书前，须向采购代理机构一次性支付采购代理服务费。 代理费缴存账户： 开户名称：陕西众诚项目管理有限公司开户银行：中国工商银行股份有限公司西安太华路支行 账 号：3700023909200105694 （备注：项目名称+代理服务费）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西安市雁塔区民政局</w:t>
      </w:r>
      <w:r>
        <w:rPr/>
        <w:t>和</w:t>
      </w:r>
      <w:r>
        <w:rPr/>
        <w:t>陕西众诚项目管理有限公司</w:t>
      </w:r>
      <w:r>
        <w:rPr/>
        <w:t>享有。对磋商文件中供应商参加本次政府采购活动应当具备的条件，磋商项目技术、服务、商务及其他要求，评审细则及标准由</w:t>
      </w:r>
      <w:r>
        <w:rPr/>
        <w:t>西安市雁塔区民政局</w:t>
      </w:r>
      <w:r>
        <w:rPr/>
        <w:t>负责解释。除上述磋商文件内容，其他内容由</w:t>
      </w:r>
      <w:r>
        <w:rPr/>
        <w:t>陕西众诚项目管理有限公司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西安市雁塔区民政局</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陕西众诚项目管理有限公司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b/>
          <w:sz w:val="24"/>
        </w:rPr>
        <w:t xml:space="preserve"> 2.2.3响应费用（实质性要求）</w:t>
      </w:r>
    </w:p>
    <w:p>
      <w:pPr>
        <w:pStyle w:val="null3"/>
        <w:ind w:firstLine="480"/>
      </w:pPr>
      <w:r>
        <w:rPr/>
        <w:t>供应商应自行承担参加竞争性磋商采购活动的全部费用。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本次项目均以人民币报价。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2.6.7履约验收方案</w:t>
      </w:r>
    </w:p>
    <w:p>
      <w:pPr>
        <w:pStyle w:val="null3"/>
      </w:pPr>
      <w:r>
        <w:rPr/>
        <w:t>采购包1：</w:t>
      </w:r>
    </w:p>
    <w:p>
      <w:pPr>
        <w:pStyle w:val="null3"/>
      </w:pPr>
      <w:r>
        <w:rPr/>
        <w:t>/</w:t>
      </w:r>
    </w:p>
    <w:p>
      <w:pPr>
        <w:pStyle w:val="null3"/>
        <w:outlineLvl w:val="3"/>
      </w:pPr>
      <w:r>
        <w:rPr>
          <w:b/>
          <w:sz w:val="24"/>
        </w:rPr>
        <w:t>2.6.8资金支付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陕西众诚项目管理有限公司</w:t>
      </w:r>
      <w:r>
        <w:rPr/>
        <w:t xml:space="preserve"> 负责答复；供应商对除采购需求外的采购文件的询问、质疑由</w:t>
      </w:r>
      <w:r>
        <w:rPr/>
        <w:t>陕西众诚项目管理有限公司</w:t>
      </w:r>
      <w:r>
        <w:rPr/>
        <w:t xml:space="preserve"> 负责答复；供应商对采购过程、采购结果的询问、质疑由 </w:t>
      </w:r>
      <w:r>
        <w:rPr/>
        <w:t>陕西众诚项目管理有限公司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联系人：张工</w:t>
      </w:r>
    </w:p>
    <w:p>
      <w:pPr>
        <w:pStyle w:val="null3"/>
      </w:pPr>
      <w:r>
        <w:rPr/>
        <w:t>联系电话：029-88816603</w:t>
      </w:r>
    </w:p>
    <w:p>
      <w:pPr>
        <w:pStyle w:val="null3"/>
      </w:pPr>
      <w:r>
        <w:rPr/>
        <w:t>地址：西安市雁塔区南二环老三届世纪星大厦8层K座</w:t>
      </w:r>
    </w:p>
    <w:p>
      <w:pPr>
        <w:pStyle w:val="null3"/>
      </w:pPr>
      <w:r>
        <w:rPr/>
        <w:t>邮编：/</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3.1采购项目概况</w:t>
      </w:r>
    </w:p>
    <w:p>
      <w:pPr>
        <w:pStyle w:val="null3"/>
        <w:ind w:firstLine="480"/>
      </w:pPr>
      <w:r>
        <w:rPr/>
        <w:t>西安市雁塔区民政局精神障碍社区康复服务项目</w:t>
      </w:r>
    </w:p>
    <w:p>
      <w:pPr>
        <w:pStyle w:val="null3"/>
        <w:outlineLvl w:val="2"/>
      </w:pPr>
      <w:r>
        <w:rPr>
          <w:b/>
          <w:sz w:val="28"/>
        </w:rPr>
        <w:t>3.2服务内容及服务要求</w:t>
      </w:r>
    </w:p>
    <w:p>
      <w:pPr>
        <w:pStyle w:val="null3"/>
        <w:outlineLvl w:val="3"/>
      </w:pPr>
      <w:r>
        <w:rPr>
          <w:b/>
          <w:sz w:val="24"/>
        </w:rPr>
        <w:t>3.2.1服务内容</w:t>
      </w:r>
    </w:p>
    <w:p>
      <w:pPr>
        <w:pStyle w:val="null3"/>
      </w:pPr>
      <w:r>
        <w:rPr/>
        <w:t>采购包1：</w:t>
      </w:r>
    </w:p>
    <w:p>
      <w:pPr>
        <w:pStyle w:val="null3"/>
      </w:pPr>
      <w:r>
        <w:rPr/>
        <w:t>采购包预算金额（元）: 1,000,000.00</w:t>
      </w:r>
    </w:p>
    <w:p>
      <w:pPr>
        <w:pStyle w:val="null3"/>
      </w:pPr>
      <w:r>
        <w:rPr/>
        <w:t>采购包最高限价（元）: 1,000,000.00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西安市雁塔区民政局精神障碍社区康复服务项目</w:t>
            </w:r>
          </w:p>
        </w:tc>
        <w:tc>
          <w:tcPr>
            <w:tcW w:type="dxa" w:w="831"/>
          </w:tcPr>
          <w:p>
            <w:pPr>
              <w:pStyle w:val="null3"/>
              <w:jc w:val="right"/>
            </w:pPr>
            <w:r>
              <w:rPr/>
              <w:t>1.00</w:t>
            </w:r>
          </w:p>
        </w:tc>
        <w:tc>
          <w:tcPr>
            <w:tcW w:type="dxa" w:w="831"/>
          </w:tcPr>
          <w:p>
            <w:pPr>
              <w:pStyle w:val="null3"/>
              <w:jc w:val="right"/>
            </w:pPr>
            <w:r>
              <w:rPr/>
              <w:t>1,000,000.00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标的名称：西安市雁塔区民政局精神障碍社区康复服务项目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quot;times new roman&quot;" w:hAnsi="&quot;times new roman&quot;" w:cs="&quot;times new roman&quot;" w:eastAsia="&quot;times new roman&quot;"/>
                <w:sz w:val="21"/>
              </w:rPr>
              <w:t>一、项目名称</w:t>
            </w:r>
          </w:p>
          <w:p>
            <w:pPr>
              <w:pStyle w:val="null3"/>
              <w:jc w:val="both"/>
            </w:pPr>
            <w:r>
              <w:rPr>
                <w:rFonts w:ascii="&quot;times new roman&quot;" w:hAnsi="&quot;times new roman&quot;" w:cs="&quot;times new roman&quot;" w:eastAsia="&quot;times new roman&quot;"/>
                <w:sz w:val="21"/>
              </w:rPr>
              <w:t xml:space="preserve">    西安市雁塔区民政局精神障碍社区康复服务项目</w:t>
            </w:r>
          </w:p>
          <w:p>
            <w:pPr>
              <w:pStyle w:val="null3"/>
            </w:pPr>
            <w:r>
              <w:rPr>
                <w:rFonts w:ascii="&quot;times new roman&quot;" w:hAnsi="&quot;times new roman&quot;" w:cs="&quot;times new roman&quot;" w:eastAsia="&quot;times new roman&quot;"/>
                <w:sz w:val="21"/>
              </w:rPr>
              <w:t>二、服务对象</w:t>
            </w:r>
          </w:p>
          <w:p>
            <w:pPr>
              <w:pStyle w:val="null3"/>
            </w:pPr>
            <w:r>
              <w:rPr>
                <w:rFonts w:ascii="&quot;times new roman&quot;" w:hAnsi="&quot;times new roman&quot;" w:cs="&quot;times new roman&quot;" w:eastAsia="&quot;times new roman&quot;"/>
                <w:sz w:val="21"/>
              </w:rPr>
              <w:t xml:space="preserve">     1.项目服务对象为雁塔区户籍、在雁塔区辖内有固定的居住场所，病情稳定且无肇事肇祸倾向，经精神卫生专业医疗机构出院评估可进行社区康复且有康复意愿的居家精神障碍患者(优先关注特困、低保、低保边缘和支出型困难家庭中救助对象，孤寡、独居、空巢老人、困境儿童等民政服务对象)。</w:t>
            </w:r>
            <w:r>
              <w:br/>
            </w:r>
            <w:r>
              <w:rPr>
                <w:rFonts w:ascii="&quot;times new roman&quot;" w:hAnsi="&quot;times new roman&quot;" w:cs="&quot;times new roman&quot;" w:eastAsia="&quot;times new roman&quot;"/>
                <w:sz w:val="21"/>
              </w:rPr>
              <w:t xml:space="preserve">     2.上述固定接受中心服务的服务对象，不得与本机构通过其他途径获得政府资金资助开展的与本项目服务性质或内容类似的服务项目的服务对象重复。</w:t>
            </w:r>
          </w:p>
          <w:p>
            <w:pPr>
              <w:pStyle w:val="null3"/>
            </w:pPr>
            <w:r>
              <w:rPr>
                <w:rFonts w:ascii="&quot;times new roman&quot;" w:hAnsi="&quot;times new roman&quot;" w:cs="&quot;times new roman&quot;" w:eastAsia="&quot;times new roman&quot;"/>
                <w:sz w:val="21"/>
              </w:rPr>
              <w:t>三、服务内容</w:t>
            </w:r>
          </w:p>
          <w:p>
            <w:pPr>
              <w:pStyle w:val="null3"/>
            </w:pPr>
            <w:r>
              <w:rPr/>
              <w:t xml:space="preserve">   </w:t>
            </w:r>
            <w:r>
              <w:rPr>
                <w:rFonts w:ascii="&quot;times new roman&quot;" w:hAnsi="&quot;times new roman&quot;" w:cs="&quot;times new roman&quot;" w:eastAsia="&quot;times new roman&quot;"/>
                <w:sz w:val="21"/>
              </w:rPr>
              <w:t xml:space="preserve"> 针对精神障碍患者提供专业的康复服务，包括预防复发训练、躯体管理训练、生活技能训练、社交能力训练、职业康复训练、心理康复、同伴支持、家庭支持等。</w:t>
            </w:r>
          </w:p>
          <w:p>
            <w:pPr>
              <w:pStyle w:val="null3"/>
            </w:pPr>
            <w:r>
              <w:rPr>
                <w:rFonts w:ascii="&quot;times new roman&quot;" w:hAnsi="&quot;times new roman&quot;" w:cs="&quot;times new roman&quot;" w:eastAsia="&quot;times new roman&quot;"/>
                <w:sz w:val="21"/>
              </w:rPr>
              <w:t>四、服务要求</w:t>
            </w:r>
          </w:p>
          <w:p>
            <w:pPr>
              <w:pStyle w:val="null3"/>
            </w:pPr>
            <w:r>
              <w:rPr>
                <w:rFonts w:ascii="&quot;times new roman&quot;" w:hAnsi="&quot;times new roman&quot;" w:cs="&quot;times new roman&quot;" w:eastAsia="&quot;times new roman&quot;"/>
                <w:sz w:val="21"/>
              </w:rPr>
              <w:t>（一）服务数量</w:t>
            </w:r>
          </w:p>
          <w:p>
            <w:pPr>
              <w:pStyle w:val="null3"/>
            </w:pPr>
            <w:r>
              <w:rPr>
                <w:rFonts w:ascii="&quot;times new roman&quot;" w:hAnsi="&quot;times new roman&quot;" w:cs="&quot;times new roman&quot;" w:eastAsia="&quot;times new roman&quot;"/>
                <w:sz w:val="21"/>
              </w:rPr>
              <w:t xml:space="preserve">    服务机构必须根据服务对象年度评估情况，制订服务计划并开展相应的康复服务。</w:t>
            </w:r>
            <w:r>
              <w:rPr>
                <w:rFonts w:ascii="&quot;times new roman&quot;" w:hAnsi="&quot;times new roman&quot;" w:cs="&quot;times new roman&quot;" w:eastAsia="&quot;times new roman&quot;"/>
                <w:sz w:val="21"/>
              </w:rPr>
              <w:t>精神障碍社区康复服务对象数量不低于100人。</w:t>
            </w:r>
          </w:p>
          <w:p>
            <w:pPr>
              <w:pStyle w:val="null3"/>
            </w:pPr>
            <w:r>
              <w:rPr>
                <w:rFonts w:ascii="&quot;times new roman&quot;" w:hAnsi="&quot;times new roman&quot;" w:cs="&quot;times new roman&quot;" w:eastAsia="&quot;times new roman&quot;"/>
                <w:sz w:val="21"/>
              </w:rPr>
              <w:t>（二）服务频次</w:t>
            </w:r>
          </w:p>
          <w:p>
            <w:pPr>
              <w:pStyle w:val="null3"/>
            </w:pPr>
            <w:r>
              <w:rPr>
                <w:rFonts w:ascii="&quot;times new roman&quot;" w:hAnsi="&quot;times new roman&quot;" w:cs="&quot;times new roman&quot;" w:eastAsia="&quot;times new roman&quot;"/>
                <w:sz w:val="21"/>
              </w:rPr>
              <w:t xml:space="preserve">    根据精神障碍患者的个性需求和实际情况，制定专门的康复服务计划，配备专业服务团队，原则上每人每月接受康复服务不少于5次。</w:t>
            </w:r>
          </w:p>
          <w:p>
            <w:pPr>
              <w:pStyle w:val="null3"/>
            </w:pPr>
            <w:r>
              <w:rPr>
                <w:rFonts w:ascii="&quot;times new roman&quot;" w:hAnsi="&quot;times new roman&quot;" w:cs="&quot;times new roman&quot;" w:eastAsia="&quot;times new roman&quot;"/>
                <w:sz w:val="21"/>
              </w:rPr>
              <w:t>（三）场所标准</w:t>
            </w:r>
          </w:p>
          <w:p>
            <w:pPr>
              <w:pStyle w:val="null3"/>
            </w:pPr>
            <w:r>
              <w:rPr>
                <w:rFonts w:ascii="&quot;times new roman&quot;" w:hAnsi="&quot;times new roman&quot;" w:cs="&quot;times new roman&quot;" w:eastAsia="&quot;times new roman&quot;"/>
                <w:sz w:val="21"/>
              </w:rPr>
              <w:t xml:space="preserve">    1、精神障碍康复机构（含居家康复和社区康复）应在雁塔区行政区域内具有相对独立、固定、能够满足开展精神障碍社区康复服务功能的场所。</w:t>
            </w:r>
          </w:p>
          <w:p>
            <w:pPr>
              <w:pStyle w:val="null3"/>
            </w:pPr>
            <w:r>
              <w:rPr>
                <w:rFonts w:ascii="&quot;times new roman&quot;" w:hAnsi="&quot;times new roman&quot;" w:cs="&quot;times new roman&quot;" w:eastAsia="&quot;times new roman&quot;"/>
                <w:sz w:val="21"/>
              </w:rPr>
              <w:t xml:space="preserve">    2、场所选址应在交通便利，周边无有毒、有害和易燃、易爆产品生产和储存的场所。</w:t>
            </w:r>
          </w:p>
          <w:p>
            <w:pPr>
              <w:pStyle w:val="null3"/>
            </w:pPr>
            <w:r>
              <w:rPr>
                <w:rFonts w:ascii="&quot;times new roman&quot;" w:hAnsi="&quot;times new roman&quot;" w:cs="&quot;times new roman&quot;" w:eastAsia="&quot;times new roman&quot;"/>
                <w:sz w:val="21"/>
              </w:rPr>
              <w:t xml:space="preserve">    3、建筑和设施符合国家消防安全相关规范要求；重点区域统一安装内部监控系统。</w:t>
            </w:r>
          </w:p>
          <w:p>
            <w:pPr>
              <w:pStyle w:val="null3"/>
            </w:pPr>
            <w:r>
              <w:rPr>
                <w:rFonts w:ascii="&quot;times new roman&quot;" w:hAnsi="&quot;times new roman&quot;" w:cs="&quot;times new roman&quot;" w:eastAsia="&quot;times new roman&quot;"/>
                <w:sz w:val="21"/>
              </w:rPr>
              <w:t xml:space="preserve">    4、场所布局合理，功能分区明确。</w:t>
            </w:r>
          </w:p>
          <w:p>
            <w:pPr>
              <w:pStyle w:val="null3"/>
            </w:pPr>
            <w:r>
              <w:rPr>
                <w:rFonts w:ascii="&quot;times new roman&quot;" w:hAnsi="&quot;times new roman&quot;" w:cs="&quot;times new roman&quot;" w:eastAsia="&quot;times new roman&quot;"/>
                <w:sz w:val="21"/>
              </w:rPr>
              <w:t>（四）设备标准</w:t>
            </w:r>
          </w:p>
          <w:p>
            <w:pPr>
              <w:pStyle w:val="null3"/>
            </w:pPr>
            <w:r>
              <w:rPr>
                <w:rFonts w:ascii="&quot;times new roman&quot;" w:hAnsi="&quot;times new roman&quot;" w:cs="&quot;times new roman&quot;" w:eastAsia="&quot;times new roman&quot;"/>
                <w:sz w:val="21"/>
              </w:rPr>
              <w:t xml:space="preserve">    配置满足基本社区康复服务需要的设备。</w:t>
            </w:r>
          </w:p>
          <w:p>
            <w:pPr>
              <w:pStyle w:val="null3"/>
            </w:pPr>
            <w:r>
              <w:rPr>
                <w:rFonts w:ascii="&quot;times new roman&quot;" w:hAnsi="&quot;times new roman&quot;" w:cs="&quot;times new roman&quot;" w:eastAsia="&quot;times new roman&quot;"/>
                <w:sz w:val="21"/>
              </w:rPr>
              <w:t>五、服务目标</w:t>
            </w:r>
            <w:r>
              <w:rPr>
                <w:rFonts w:ascii="&quot;times new roman&quot;" w:hAnsi="&quot;times new roman&quot;" w:cs="&quot;times new roman&quot;" w:eastAsia="&quot;times new roman&quot;"/>
                <w:sz w:val="21"/>
              </w:rPr>
              <w:t xml:space="preserve"> </w:t>
            </w:r>
          </w:p>
          <w:p>
            <w:pPr>
              <w:pStyle w:val="null3"/>
            </w:pPr>
            <w:r>
              <w:rPr>
                <w:rFonts w:ascii="&quot;times new roman&quot;" w:hAnsi="&quot;times new roman&quot;" w:cs="&quot;times new roman&quot;" w:eastAsia="&quot;times new roman&quot;"/>
                <w:sz w:val="21"/>
              </w:rPr>
              <w:t xml:space="preserve">    提高精神障碍患者社区康复服务质量和水平，为精神障碍患者及其家属提供专业康复服务，及时关注患者的健康状态、生活状态、家庭情况，提升精神障碍患者自我照顾、社会交往、职业技能等能力，促进精神障碍患者身心的健康，让精神障碍患者更好地融入社区、回归社会。</w:t>
            </w:r>
          </w:p>
        </w:tc>
      </w:tr>
    </w:tbl>
    <w:p>
      <w:pPr>
        <w:pStyle w:val="null3"/>
        <w:outlineLvl w:val="2"/>
      </w:pPr>
      <w:r>
        <w:rPr>
          <w:b/>
          <w:sz w:val="28"/>
        </w:rPr>
        <w:t>3.2.3人员配置要求</w:t>
      </w:r>
    </w:p>
    <w:p>
      <w:pPr>
        <w:pStyle w:val="null3"/>
      </w:pPr>
      <w:r>
        <w:rPr/>
        <w:t>采购包1：</w:t>
      </w:r>
    </w:p>
    <w:p>
      <w:pPr>
        <w:pStyle w:val="null3"/>
      </w:pPr>
      <w:r>
        <w:rPr/>
        <w:t>/</w:t>
      </w:r>
    </w:p>
    <w:p>
      <w:pPr>
        <w:pStyle w:val="null3"/>
        <w:outlineLvl w:val="2"/>
      </w:pPr>
      <w:r>
        <w:rPr>
          <w:b/>
          <w:sz w:val="28"/>
        </w:rPr>
        <w:t>3.2.4设施设备要求</w:t>
      </w:r>
    </w:p>
    <w:p>
      <w:pPr>
        <w:pStyle w:val="null3"/>
      </w:pPr>
      <w:r>
        <w:rPr/>
        <w:t>采购包1：</w:t>
      </w:r>
    </w:p>
    <w:p>
      <w:pPr>
        <w:pStyle w:val="null3"/>
      </w:pPr>
      <w:r>
        <w:rPr/>
        <w:t>/</w:t>
      </w:r>
    </w:p>
    <w:p>
      <w:pPr>
        <w:pStyle w:val="null3"/>
        <w:outlineLvl w:val="2"/>
      </w:pPr>
      <w:r>
        <w:rPr>
          <w:b/>
          <w:sz w:val="28"/>
        </w:rPr>
        <w:t>3.2.5其他要求</w:t>
      </w:r>
    </w:p>
    <w:p>
      <w:pPr>
        <w:pStyle w:val="null3"/>
      </w:pPr>
      <w:r>
        <w:rPr/>
        <w:t>采购包1：</w:t>
      </w:r>
    </w:p>
    <w:p>
      <w:pPr>
        <w:pStyle w:val="null3"/>
      </w:pPr>
      <w:r>
        <w:rPr/>
        <w:t>/</w:t>
      </w:r>
    </w:p>
    <w:p>
      <w:pPr>
        <w:pStyle w:val="null3"/>
        <w:outlineLvl w:val="2"/>
      </w:pPr>
      <w:r>
        <w:rPr>
          <w:b/>
          <w:sz w:val="28"/>
        </w:rPr>
        <w:t>3.3商务要求</w:t>
      </w:r>
    </w:p>
    <w:p>
      <w:pPr>
        <w:pStyle w:val="null3"/>
        <w:outlineLvl w:val="3"/>
      </w:pPr>
      <w:r>
        <w:rPr>
          <w:b/>
          <w:sz w:val="24"/>
        </w:rPr>
        <w:t>3.3.1服务期限</w:t>
      </w:r>
    </w:p>
    <w:p>
      <w:pPr>
        <w:pStyle w:val="null3"/>
      </w:pPr>
      <w:r>
        <w:rPr/>
        <w:t>采购包1：</w:t>
      </w:r>
    </w:p>
    <w:p>
      <w:pPr>
        <w:pStyle w:val="null3"/>
      </w:pPr>
      <w:r>
        <w:rPr/>
        <w:t>服务期限为自双方合同签订之日起两年内。</w:t>
      </w:r>
    </w:p>
    <w:p>
      <w:pPr>
        <w:pStyle w:val="null3"/>
        <w:outlineLvl w:val="3"/>
      </w:pPr>
      <w:r>
        <w:rPr>
          <w:b/>
          <w:sz w:val="24"/>
        </w:rPr>
        <w:t>3.3.2服务地点</w:t>
      </w:r>
    </w:p>
    <w:p>
      <w:pPr>
        <w:pStyle w:val="null3"/>
      </w:pPr>
      <w:r>
        <w:rPr/>
        <w:t>采购包1：</w:t>
      </w:r>
    </w:p>
    <w:p>
      <w:pPr>
        <w:pStyle w:val="null3"/>
      </w:pPr>
      <w:r>
        <w:rPr/>
        <w:t>采购人指定地点</w:t>
      </w:r>
    </w:p>
    <w:p>
      <w:pPr>
        <w:pStyle w:val="null3"/>
        <w:outlineLvl w:val="3"/>
      </w:pPr>
      <w:r>
        <w:rPr>
          <w:b/>
          <w:sz w:val="24"/>
        </w:rPr>
        <w:t>3.3.3考核（验收）标准和方法</w:t>
      </w:r>
    </w:p>
    <w:p>
      <w:pPr>
        <w:pStyle w:val="null3"/>
      </w:pPr>
      <w:r>
        <w:rPr/>
        <w:t>采购包1：</w:t>
      </w:r>
    </w:p>
    <w:p>
      <w:pPr>
        <w:pStyle w:val="null3"/>
      </w:pPr>
      <w:r>
        <w:rPr/>
        <w:t>/</w:t>
      </w:r>
    </w:p>
    <w:p>
      <w:pPr>
        <w:pStyle w:val="null3"/>
        <w:outlineLvl w:val="3"/>
      </w:pPr>
      <w:r>
        <w:rPr>
          <w:b/>
          <w:sz w:val="24"/>
        </w:rPr>
        <w:t>3.3.4支付方式</w:t>
      </w:r>
    </w:p>
    <w:p>
      <w:pPr>
        <w:pStyle w:val="null3"/>
      </w:pPr>
      <w:r>
        <w:rPr/>
        <w:t>采购包1：</w:t>
      </w:r>
    </w:p>
    <w:p>
      <w:pPr>
        <w:pStyle w:val="null3"/>
      </w:pPr>
      <w:r>
        <w:rPr/>
        <w:t>分期付款</w:t>
      </w:r>
    </w:p>
    <w:p>
      <w:pPr>
        <w:pStyle w:val="null3"/>
        <w:outlineLvl w:val="3"/>
      </w:pPr>
      <w:r>
        <w:rPr>
          <w:b/>
          <w:sz w:val="24"/>
        </w:rPr>
        <w:t>3.3.5支付约定</w:t>
      </w:r>
    </w:p>
    <w:p>
      <w:pPr>
        <w:pStyle w:val="null3"/>
      </w:pPr>
      <w:r>
        <w:rPr/>
        <w:t>采购包1：</w:t>
      </w:r>
      <w:r>
        <w:rPr/>
        <w:t xml:space="preserve"> 付款条件说明： </w:t>
      </w:r>
      <w:r>
        <w:rPr/>
        <w:t>合同签订后</w:t>
      </w:r>
      <w:r>
        <w:rPr/>
        <w:t xml:space="preserve"> ，达到付款条件起 </w:t>
      </w:r>
      <w:r>
        <w:rPr/>
        <w:t>15</w:t>
      </w:r>
      <w:r>
        <w:rPr/>
        <w:t xml:space="preserve"> 日内，支付合同总金额的 </w:t>
      </w:r>
      <w:r>
        <w:rPr/>
        <w:t>50.00</w:t>
      </w:r>
      <w:r>
        <w:rPr/>
        <w:t>%。</w:t>
      </w:r>
    </w:p>
    <w:p>
      <w:pPr>
        <w:pStyle w:val="null3"/>
      </w:pPr>
      <w:r>
        <w:rPr/>
        <w:t>采购包1：</w:t>
      </w:r>
      <w:r>
        <w:rPr/>
        <w:t xml:space="preserve"> 付款条件说明： </w:t>
      </w:r>
      <w:r>
        <w:rPr/>
        <w:t>乙方完成服务量化指标的50%，经甲方或甲方委托的第三方机构评估后</w:t>
      </w:r>
      <w:r>
        <w:rPr/>
        <w:t xml:space="preserve"> ，达到付款条件起 </w:t>
      </w:r>
      <w:r>
        <w:rPr/>
        <w:t>15</w:t>
      </w:r>
      <w:r>
        <w:rPr/>
        <w:t xml:space="preserve"> 日内，支付合同总金额的 </w:t>
      </w:r>
      <w:r>
        <w:rPr/>
        <w:t>30.00</w:t>
      </w:r>
      <w:r>
        <w:rPr/>
        <w:t>%。</w:t>
      </w:r>
    </w:p>
    <w:p>
      <w:pPr>
        <w:pStyle w:val="null3"/>
      </w:pPr>
      <w:r>
        <w:rPr/>
        <w:t>采购包1：</w:t>
      </w:r>
      <w:r>
        <w:rPr/>
        <w:t xml:space="preserve"> 付款条件说明： </w:t>
      </w:r>
      <w:r>
        <w:rPr/>
        <w:t>乙方完成全部服务量化指标，经甲方或甲方委托的第三方机构验收合格后</w:t>
      </w:r>
      <w:r>
        <w:rPr/>
        <w:t xml:space="preserve"> ，达到付款条件起 </w:t>
      </w:r>
      <w:r>
        <w:rPr/>
        <w:t>15</w:t>
      </w:r>
      <w:r>
        <w:rPr/>
        <w:t xml:space="preserve"> 日内，支付合同总金额的 </w:t>
      </w:r>
      <w:r>
        <w:rPr/>
        <w:t>20.00</w:t>
      </w:r>
      <w:r>
        <w:rPr/>
        <w:t>%。</w:t>
      </w:r>
    </w:p>
    <w:p>
      <w:pPr>
        <w:pStyle w:val="null3"/>
        <w:outlineLvl w:val="3"/>
      </w:pPr>
      <w:r>
        <w:rPr>
          <w:b/>
          <w:sz w:val="24"/>
        </w:rPr>
        <w:t>3.3.6违约责任及解决争议的方法</w:t>
      </w:r>
    </w:p>
    <w:p>
      <w:pPr>
        <w:pStyle w:val="null3"/>
      </w:pPr>
      <w:r>
        <w:rPr/>
        <w:t>采购包1：</w:t>
      </w:r>
    </w:p>
    <w:p>
      <w:pPr>
        <w:pStyle w:val="null3"/>
      </w:pPr>
      <w:r>
        <w:rPr/>
        <w:t>/</w:t>
      </w:r>
    </w:p>
    <w:p>
      <w:pPr>
        <w:pStyle w:val="null3"/>
        <w:outlineLvl w:val="2"/>
      </w:pPr>
      <w:r>
        <w:rPr>
          <w:b/>
          <w:sz w:val="28"/>
        </w:rPr>
        <w:t>3.4其他要求</w:t>
      </w:r>
    </w:p>
    <w:p>
      <w:pPr>
        <w:pStyle w:val="null3"/>
      </w:pPr>
      <w:r>
        <w:rPr/>
        <w:t>/</w:t>
      </w:r>
    </w:p>
    <w:p>
      <w:pPr>
        <w:pStyle w:val="null3"/>
      </w:pPr>
      <w:r>
        <w:rPr/>
        <w:t xml:space="preserve"> </w:t>
        <w:br/>
        <w:br w:type="page"/>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上传相应的证明文件。</w:t>
            </w:r>
          </w:p>
        </w:tc>
        <w:tc>
          <w:tcPr>
            <w:tcW w:type="dxa" w:w="1661"/>
          </w:tcPr>
          <w:p>
            <w:pPr>
              <w:pStyle w:val="null3"/>
            </w:pPr>
            <w:r>
              <w:rPr/>
              <w:t>供应商应提交的相关资格证明材料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提供2022年度经审计的财务报告（包括“四表 一注”即《资产负债表》《利润表》《现金流量 表》《所有者权益变动表》及其附注；成立时 间至提交磋商响应文件截止时间不足一年的可 提供成立后任意时段的资产负债表）或基本存 款账户开户银行出具的资信证明及基本存款账 户开户许可证（基本账户信息）。</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上传相应的证明文件。</w:t>
            </w:r>
          </w:p>
        </w:tc>
        <w:tc>
          <w:tcPr>
            <w:tcW w:type="dxa" w:w="1661"/>
          </w:tcPr>
          <w:p>
            <w:pPr>
              <w:pStyle w:val="null3"/>
            </w:pPr>
            <w:r>
              <w:rPr/>
              <w:t>供应商应提交的相关资格证明材料 响应函</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具有独立承担民事责任能力的法人、其他组织 或自然人，并出具合法有效的营业执照或事业 单位法人证书等国家规定的相关证明，自然人 参与的提供其身份证明。</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纳税证明</w:t>
            </w:r>
          </w:p>
        </w:tc>
        <w:tc>
          <w:tcPr>
            <w:tcW w:type="dxa" w:w="3322"/>
          </w:tcPr>
          <w:p>
            <w:pPr>
              <w:pStyle w:val="null3"/>
            </w:pPr>
            <w:r>
              <w:rPr/>
              <w:t>提供磋商截止日前一年内已缴纳的至少一个月的纳税证明或完税证明，依法免税的单位应提供相关证明材料。</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社保证明</w:t>
            </w:r>
          </w:p>
        </w:tc>
        <w:tc>
          <w:tcPr>
            <w:tcW w:type="dxa" w:w="3322"/>
          </w:tcPr>
          <w:p>
            <w:pPr>
              <w:pStyle w:val="null3"/>
            </w:pPr>
            <w:r>
              <w:rPr/>
              <w:t>提供磋商截止日前一年内已缴存的至少一个月的社会保障资金缴存单据或社保机构开具的社会保险参保缴费情况证明，依法不需要缴纳社会保障资金的单位应提供相关证明材料。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三年无违法声明</w:t>
            </w:r>
          </w:p>
        </w:tc>
        <w:tc>
          <w:tcPr>
            <w:tcW w:type="dxa" w:w="3322"/>
          </w:tcPr>
          <w:p>
            <w:pPr>
              <w:pStyle w:val="null3"/>
            </w:pPr>
            <w:r>
              <w:rPr/>
              <w:t>参加政府采购活动前3年内，在经营活动中没有重大违法记录的书面声明。</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履约能力声明</w:t>
            </w:r>
          </w:p>
        </w:tc>
        <w:tc>
          <w:tcPr>
            <w:tcW w:type="dxa" w:w="3322"/>
          </w:tcPr>
          <w:p>
            <w:pPr>
              <w:pStyle w:val="null3"/>
            </w:pPr>
            <w:r>
              <w:rPr/>
              <w:t>提供具有履行合同所必需的设备和专业技术能力的承诺。</w:t>
            </w:r>
          </w:p>
        </w:tc>
        <w:tc>
          <w:tcPr>
            <w:tcW w:type="dxa" w:w="1661"/>
          </w:tcPr>
          <w:p>
            <w:pPr>
              <w:pStyle w:val="null3"/>
            </w:pPr>
            <w:r>
              <w:rPr/>
              <w:t>供应商应提交的相关资格证明材料</w:t>
            </w:r>
          </w:p>
        </w:tc>
      </w:tr>
      <w:tr>
        <w:tc>
          <w:tcPr>
            <w:tcW w:type="dxa" w:w="831"/>
          </w:tcPr>
          <w:p>
            <w:pPr>
              <w:pStyle w:val="null3"/>
            </w:pPr>
            <w:r>
              <w:rPr/>
              <w:t>6</w:t>
            </w:r>
          </w:p>
        </w:tc>
        <w:tc>
          <w:tcPr>
            <w:tcW w:type="dxa" w:w="2492"/>
          </w:tcPr>
          <w:p>
            <w:pPr>
              <w:pStyle w:val="null3"/>
            </w:pPr>
            <w:r>
              <w:rPr/>
              <w:t>身份证明</w:t>
            </w:r>
          </w:p>
        </w:tc>
        <w:tc>
          <w:tcPr>
            <w:tcW w:type="dxa" w:w="3322"/>
          </w:tcPr>
          <w:p>
            <w:pPr>
              <w:pStyle w:val="null3"/>
            </w:pPr>
            <w:r>
              <w:rPr/>
              <w:t>法定代表人授权书（附法定代表人、被授权人身份证复印件）及被授权人身份证（法定代表人直接参加磋商，须提供法定代表人身份证明及身份证原件）。</w:t>
            </w:r>
          </w:p>
        </w:tc>
        <w:tc>
          <w:tcPr>
            <w:tcW w:type="dxa" w:w="1661"/>
          </w:tcPr>
          <w:p>
            <w:pPr>
              <w:pStyle w:val="null3"/>
            </w:pPr>
            <w:r>
              <w:rPr/>
              <w:t>供应商应提交的相关资格证明材料</w:t>
            </w:r>
          </w:p>
        </w:tc>
      </w:tr>
      <w:tr>
        <w:tc>
          <w:tcPr>
            <w:tcW w:type="dxa" w:w="831"/>
          </w:tcPr>
          <w:p>
            <w:pPr>
              <w:pStyle w:val="null3"/>
            </w:pPr>
            <w:r>
              <w:rPr/>
              <w:t>7</w:t>
            </w:r>
          </w:p>
        </w:tc>
        <w:tc>
          <w:tcPr>
            <w:tcW w:type="dxa" w:w="2492"/>
          </w:tcPr>
          <w:p>
            <w:pPr>
              <w:pStyle w:val="null3"/>
            </w:pPr>
            <w:r>
              <w:rPr/>
              <w:t>非联合体声明</w:t>
            </w:r>
          </w:p>
        </w:tc>
        <w:tc>
          <w:tcPr>
            <w:tcW w:type="dxa" w:w="3322"/>
          </w:tcPr>
          <w:p>
            <w:pPr>
              <w:pStyle w:val="null3"/>
            </w:pPr>
            <w:r>
              <w:rPr/>
              <w:t>本项目不接受联合体投标</w:t>
            </w:r>
          </w:p>
        </w:tc>
        <w:tc>
          <w:tcPr>
            <w:tcW w:type="dxa" w:w="1661"/>
          </w:tcPr>
          <w:p>
            <w:pPr>
              <w:pStyle w:val="null3"/>
            </w:pPr>
            <w:r>
              <w:rPr/>
              <w:t>供应商应提交的相关资格证明材料</w:t>
            </w:r>
          </w:p>
        </w:tc>
      </w:tr>
    </w:tbl>
    <w:p>
      <w:pPr>
        <w:pStyle w:val="null3"/>
      </w:pPr>
      <w:r>
        <w:rPr/>
        <w:t xml:space="preserve"> </w:t>
        <w:br/>
        <w:br w:type="page"/>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投标文件的签署盖章</w:t>
            </w:r>
          </w:p>
        </w:tc>
        <w:tc>
          <w:tcPr>
            <w:tcW w:type="dxa" w:w="3322"/>
          </w:tcPr>
          <w:p>
            <w:pPr>
              <w:pStyle w:val="null3"/>
            </w:pPr>
            <w:r>
              <w:rPr/>
              <w:t>投标文件上法定代表人或其授权代表人的签字 齐全并加盖公章。</w:t>
            </w:r>
          </w:p>
        </w:tc>
        <w:tc>
          <w:tcPr>
            <w:tcW w:type="dxa" w:w="1661"/>
          </w:tcPr>
          <w:p>
            <w:pPr>
              <w:pStyle w:val="null3"/>
            </w:pPr>
            <w:r>
              <w:rPr/>
              <w:t>响应文件封面</w:t>
            </w:r>
          </w:p>
        </w:tc>
      </w:tr>
      <w:tr>
        <w:tc>
          <w:tcPr>
            <w:tcW w:type="dxa" w:w="831"/>
          </w:tcPr>
          <w:p>
            <w:pPr>
              <w:pStyle w:val="null3"/>
            </w:pPr>
            <w:r>
              <w:rPr/>
              <w:t>3</w:t>
            </w:r>
          </w:p>
        </w:tc>
        <w:tc>
          <w:tcPr>
            <w:tcW w:type="dxa" w:w="2492"/>
          </w:tcPr>
          <w:p>
            <w:pPr>
              <w:pStyle w:val="null3"/>
            </w:pPr>
            <w:r>
              <w:rPr/>
              <w:t>投标文件上法定代表人或其授权代表人的签字 齐全并加盖公章。</w:t>
            </w:r>
          </w:p>
        </w:tc>
        <w:tc>
          <w:tcPr>
            <w:tcW w:type="dxa" w:w="3322"/>
          </w:tcPr>
          <w:p>
            <w:pPr>
              <w:pStyle w:val="null3"/>
            </w:pPr>
            <w:r>
              <w:rPr/>
              <w:t>投标文件上法定代表人或其授权代表人的签字 齐全并加盖公章。</w:t>
            </w:r>
          </w:p>
        </w:tc>
        <w:tc>
          <w:tcPr>
            <w:tcW w:type="dxa" w:w="1661"/>
          </w:tcPr>
          <w:p>
            <w:pPr>
              <w:pStyle w:val="null3"/>
            </w:pPr>
            <w:r>
              <w:rPr/>
              <w:t>响应文件封面</w:t>
            </w:r>
          </w:p>
        </w:tc>
      </w:tr>
      <w:tr>
        <w:tc>
          <w:tcPr>
            <w:tcW w:type="dxa" w:w="831"/>
          </w:tcPr>
          <w:p>
            <w:pPr>
              <w:pStyle w:val="null3"/>
            </w:pPr>
            <w:r>
              <w:rPr/>
              <w:t>4</w:t>
            </w:r>
          </w:p>
        </w:tc>
        <w:tc>
          <w:tcPr>
            <w:tcW w:type="dxa" w:w="2492"/>
          </w:tcPr>
          <w:p>
            <w:pPr>
              <w:pStyle w:val="null3"/>
            </w:pPr>
            <w:r>
              <w:rPr/>
              <w:t>投标文件内容</w:t>
            </w:r>
          </w:p>
        </w:tc>
        <w:tc>
          <w:tcPr>
            <w:tcW w:type="dxa" w:w="3322"/>
          </w:tcPr>
          <w:p>
            <w:pPr>
              <w:pStyle w:val="null3"/>
            </w:pPr>
            <w:r>
              <w:rPr/>
              <w:t>投标文件内容</w:t>
            </w:r>
          </w:p>
        </w:tc>
        <w:tc>
          <w:tcPr>
            <w:tcW w:type="dxa" w:w="1661"/>
          </w:tcPr>
          <w:p>
            <w:pPr>
              <w:pStyle w:val="null3"/>
            </w:pPr>
            <w:r>
              <w:rPr/>
              <w:t>响应文件封面</w:t>
            </w:r>
          </w:p>
        </w:tc>
      </w:tr>
      <w:tr>
        <w:tc>
          <w:tcPr>
            <w:tcW w:type="dxa" w:w="831"/>
          </w:tcPr>
          <w:p>
            <w:pPr>
              <w:pStyle w:val="null3"/>
            </w:pPr>
            <w:r>
              <w:rPr/>
              <w:t>5</w:t>
            </w:r>
          </w:p>
        </w:tc>
        <w:tc>
          <w:tcPr>
            <w:tcW w:type="dxa" w:w="2492"/>
          </w:tcPr>
          <w:p>
            <w:pPr>
              <w:pStyle w:val="null3"/>
            </w:pPr>
            <w:r>
              <w:rPr/>
              <w:t>对招标文件响应程度</w:t>
            </w:r>
          </w:p>
        </w:tc>
        <w:tc>
          <w:tcPr>
            <w:tcW w:type="dxa" w:w="3322"/>
          </w:tcPr>
          <w:p>
            <w:pPr>
              <w:pStyle w:val="null3"/>
            </w:pPr>
            <w:r>
              <w:rPr/>
              <w:t>要求全面响应，不能有任何采购人不能接受的 附加条件。</w:t>
            </w:r>
          </w:p>
        </w:tc>
        <w:tc>
          <w:tcPr>
            <w:tcW w:type="dxa" w:w="1661"/>
          </w:tcPr>
          <w:p>
            <w:pPr>
              <w:pStyle w:val="null3"/>
            </w:pPr>
            <w:r>
              <w:rPr/>
              <w:t>响应文件封面 服务内容及服务邀请应答表</w:t>
            </w:r>
          </w:p>
        </w:tc>
      </w:tr>
      <w:tr>
        <w:tc>
          <w:tcPr>
            <w:tcW w:type="dxa" w:w="831"/>
          </w:tcPr>
          <w:p>
            <w:pPr>
              <w:pStyle w:val="null3"/>
            </w:pPr>
            <w:r>
              <w:rPr/>
              <w:t>6</w:t>
            </w:r>
          </w:p>
        </w:tc>
        <w:tc>
          <w:tcPr>
            <w:tcW w:type="dxa" w:w="2492"/>
          </w:tcPr>
          <w:p>
            <w:pPr>
              <w:pStyle w:val="null3"/>
            </w:pPr>
            <w:r>
              <w:rPr/>
              <w:t>服务期</w:t>
            </w:r>
          </w:p>
        </w:tc>
        <w:tc>
          <w:tcPr>
            <w:tcW w:type="dxa" w:w="3322"/>
          </w:tcPr>
          <w:p>
            <w:pPr>
              <w:pStyle w:val="null3"/>
            </w:pPr>
            <w:r>
              <w:rPr/>
              <w:t>应满足招标文件中要求 。</w:t>
            </w:r>
          </w:p>
        </w:tc>
        <w:tc>
          <w:tcPr>
            <w:tcW w:type="dxa" w:w="1661"/>
          </w:tcPr>
          <w:p>
            <w:pPr>
              <w:pStyle w:val="null3"/>
            </w:pPr>
            <w:r>
              <w:rPr/>
              <w:t>响应文件封面</w:t>
            </w:r>
          </w:p>
        </w:tc>
      </w:tr>
      <w:tr>
        <w:tc>
          <w:tcPr>
            <w:tcW w:type="dxa" w:w="831"/>
          </w:tcPr>
          <w:p>
            <w:pPr>
              <w:pStyle w:val="null3"/>
            </w:pPr>
            <w:r>
              <w:rPr/>
              <w:t>7</w:t>
            </w:r>
          </w:p>
        </w:tc>
        <w:tc>
          <w:tcPr>
            <w:tcW w:type="dxa" w:w="2492"/>
          </w:tcPr>
          <w:p>
            <w:pPr>
              <w:pStyle w:val="null3"/>
            </w:pPr>
            <w:r>
              <w:rPr/>
              <w:t>应满足招标文件中要求 。</w:t>
            </w:r>
          </w:p>
        </w:tc>
        <w:tc>
          <w:tcPr>
            <w:tcW w:type="dxa" w:w="3322"/>
          </w:tcPr>
          <w:p>
            <w:pPr>
              <w:pStyle w:val="null3"/>
            </w:pPr>
            <w:r>
              <w:rPr/>
              <w:t>应满足招标文件中要求 。</w:t>
            </w:r>
          </w:p>
        </w:tc>
        <w:tc>
          <w:tcPr>
            <w:tcW w:type="dxa" w:w="1661"/>
          </w:tcPr>
          <w:p>
            <w:pPr>
              <w:pStyle w:val="null3"/>
            </w:pPr>
            <w:r>
              <w:rPr/>
              <w:t>响应文件封面</w:t>
            </w:r>
          </w:p>
        </w:tc>
      </w:tr>
    </w:tbl>
    <w:p>
      <w:pPr>
        <w:pStyle w:val="null3"/>
        <w:outlineLvl w:val="3"/>
      </w:pPr>
      <w:r>
        <w:rPr>
          <w:b/>
          <w:sz w:val="24"/>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b/>
          <w:sz w:val="24"/>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b/>
          <w:sz w:val="24"/>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b/>
          <w:sz w:val="28"/>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详细评审90.00分</w:t>
            </w:r>
          </w:p>
          <w:p>
            <w:pPr>
              <w:pStyle w:val="null3"/>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项目分析</w:t>
            </w:r>
          </w:p>
        </w:tc>
        <w:tc>
          <w:tcPr>
            <w:tcW w:type="dxa" w:w="2492"/>
          </w:tcPr>
          <w:p>
            <w:pPr>
              <w:pStyle w:val="null3"/>
            </w:pPr>
            <w:r>
              <w:rPr/>
              <w:t>供应商结合项目背景和采购内容，对项目实施具有清晰、明确的认知，保障项目顺利实施。项目分析深入、到位得（10-15]分，项目分析理解较好得（5-10]分，项目分析理解一般得[0-5]分。</w:t>
            </w:r>
          </w:p>
        </w:tc>
        <w:tc>
          <w:tcPr>
            <w:tcW w:type="dxa" w:w="831"/>
          </w:tcPr>
          <w:p>
            <w:pPr>
              <w:pStyle w:val="null3"/>
              <w:jc w:val="right"/>
            </w:pPr>
            <w:r>
              <w:rPr/>
              <w:t>15.00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服务方案</w:t>
            </w:r>
          </w:p>
        </w:tc>
        <w:tc>
          <w:tcPr>
            <w:tcW w:type="dxa" w:w="2492"/>
          </w:tcPr>
          <w:p>
            <w:pPr>
              <w:pStyle w:val="null3"/>
            </w:pPr>
            <w:r>
              <w:rPr/>
              <w:t>供应商根据对项目得理解，提供服务方案。方案全面详尽、可行性强，实施便捷得（10-15]分，方案较全面、实施性较强得（5-10]分，方案一般得[0-5]分。</w:t>
            </w:r>
          </w:p>
        </w:tc>
        <w:tc>
          <w:tcPr>
            <w:tcW w:type="dxa" w:w="831"/>
          </w:tcPr>
          <w:p>
            <w:pPr>
              <w:pStyle w:val="null3"/>
              <w:jc w:val="right"/>
            </w:pPr>
            <w:r>
              <w:rPr/>
              <w:t>15.00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服务管理制度</w:t>
            </w:r>
          </w:p>
        </w:tc>
        <w:tc>
          <w:tcPr>
            <w:tcW w:type="dxa" w:w="2492"/>
          </w:tcPr>
          <w:p>
            <w:pPr>
              <w:pStyle w:val="null3"/>
            </w:pPr>
            <w:r>
              <w:rPr/>
              <w:t>评委根据供应商提供的针对本项目制定相应的服务管理制度（包括但不限于服务质量管理制度、服务反馈制度、服务考核奖惩、服务承诺制度、服务对象档案管理制度、工作人员守则等内容、信息管理制度（含信息安全、舆论处置等）、突发事件应急预案等）进行评分：各项管理制度科学、合理、符合实际需要，操作性强得（8-10分]；各项管理制度较为科学、合理、较能符合实际需求，操作性较强得（4-8]分；管理制度基本能够满足项目需求得[0-4]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设施设备</w:t>
            </w:r>
          </w:p>
        </w:tc>
        <w:tc>
          <w:tcPr>
            <w:tcW w:type="dxa" w:w="2492"/>
          </w:tcPr>
          <w:p>
            <w:pPr>
              <w:pStyle w:val="null3"/>
            </w:pPr>
            <w:r>
              <w:rPr/>
              <w:t>1、评委根据供应商提供的设施配备方案（包括但不限于设施配备构成及合理性安排、实际作用）进行评分：项目设施配备齐全、合理、满足日常需要，对精神障碍康复有针对性作用的得（3-6]分；项目设施配备较为齐全、较合理的得(1-3]分；项目设施配备基本满足项目日常需要的得 [0-1]分。 （明确设施配备及功能型号、提供相关配置方案加盖供应商公章。） 2、供应商在服务期内所使用的社区康复产品，具有省级以上药品监督管理局颁发的医疗器械注册证的得4分。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人员配置</w:t>
            </w:r>
          </w:p>
        </w:tc>
        <w:tc>
          <w:tcPr>
            <w:tcW w:type="dxa" w:w="2492"/>
          </w:tcPr>
          <w:p>
            <w:pPr>
              <w:pStyle w:val="null3"/>
            </w:pPr>
            <w:r>
              <w:rPr/>
              <w:t>服务团队：搭建由精神科医师、职业社工、心理咨询、康复师等专业技术人员的专业服务团队，在服务期内保持人员相对稳定。服务团队工作人员应当具有相应工作岗位所匹配的资质资格。每配备1名心理咨询师、职业社工人员，得1分，最多2分；每配备1名兼职精神科执业医师，得2分，最多4分。每配备1名康复师的，得1分，最多2分。需提供人员资格证书复印件并加盖公章，不提供不得分。</w:t>
            </w:r>
          </w:p>
        </w:tc>
        <w:tc>
          <w:tcPr>
            <w:tcW w:type="dxa" w:w="831"/>
          </w:tcPr>
          <w:p>
            <w:pPr>
              <w:pStyle w:val="null3"/>
              <w:jc w:val="right"/>
            </w:pPr>
            <w:r>
              <w:rPr/>
              <w:t>8.00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服务承诺</w:t>
            </w:r>
          </w:p>
        </w:tc>
        <w:tc>
          <w:tcPr>
            <w:tcW w:type="dxa" w:w="2492"/>
          </w:tcPr>
          <w:p>
            <w:pPr>
              <w:pStyle w:val="null3"/>
            </w:pPr>
            <w:r>
              <w:rPr/>
              <w:t>服务承诺符合项目实际要求得（8-10]分，服务承诺较符合项目实际要求得（4-8]分，服务承诺与本项目实际情况不相符，得[0-4]分。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重难点分析</w:t>
            </w:r>
          </w:p>
        </w:tc>
        <w:tc>
          <w:tcPr>
            <w:tcW w:type="dxa" w:w="2492"/>
          </w:tcPr>
          <w:p>
            <w:pPr>
              <w:pStyle w:val="null3"/>
            </w:pPr>
            <w:r>
              <w:rPr/>
              <w:t>供应商根据对项目得理解，分析项目实施过程中的潜在重难点工作，并提出解决方案。重难点把握准确，解决方案合理得（3-6]分，重难点把握一般得，解决方案较合理得（1-3]分，重难点把握不准确得[0-1]分。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风险预案</w:t>
            </w:r>
          </w:p>
        </w:tc>
        <w:tc>
          <w:tcPr>
            <w:tcW w:type="dxa" w:w="2492"/>
          </w:tcPr>
          <w:p>
            <w:pPr>
              <w:pStyle w:val="null3"/>
            </w:pPr>
            <w:r>
              <w:rPr/>
              <w:t>评委根据供应商提供的风险预案进行评分：对执行中可能遇到的风险有全面预测，并有合理可行、针对性的风险应对方案，应急处理方案响应速度快、实施效率高的得(3-6]分；对项目实施过程中可能遇到的风险有合理预测，且提供较为合理可行的风险应对方案的得(1-3] 分；对项目实施过程中可能遇到的风险有一定程度了解，风险应对方案可行性欠缺的得[0-1]分。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合理化建议</w:t>
            </w:r>
          </w:p>
        </w:tc>
        <w:tc>
          <w:tcPr>
            <w:tcW w:type="dxa" w:w="2492"/>
          </w:tcPr>
          <w:p>
            <w:pPr>
              <w:pStyle w:val="null3"/>
            </w:pPr>
            <w:r>
              <w:rPr/>
              <w:t>有利于本项目工作顺利进行的合理化建议详细合理，针对性强得（2-5]分，较详细得[0-2]分。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类似业绩</w:t>
            </w:r>
          </w:p>
        </w:tc>
        <w:tc>
          <w:tcPr>
            <w:tcW w:type="dxa" w:w="2492"/>
          </w:tcPr>
          <w:p>
            <w:pPr>
              <w:pStyle w:val="null3"/>
            </w:pPr>
            <w:r>
              <w:rPr/>
              <w:t>供应商拥有与有关研究中心或院所签订的科研合作协议或精神障碍服务类似业绩，每个协议得 1分，最多5分，不提供不得分。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以本次最后报价最低的供应商的价格为磋商基准价，报价得分=(基准价／报价) ×10， 注：根据《政府采购促进中小企业发展管理办法》（财库（2020）46号）的规定，对小型和微型企业产品的价格给予10%的价格扣除，用扣除后的价格参与评标。 1.小微企业（监狱企业、残疾人福利单位视同小微企业）价格扣除。 2.参加政府采购活动的中小企业应当提供《中小企业声明函》原件,监狱企业应当提供《监狱企业证明》原件,残疾人福利性单位应当提供《残疾人福利性单位声明函》原件。</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报价表</w:t>
            </w:r>
          </w:p>
          <w:p>
            <w:pPr>
              <w:pStyle w:val="null3"/>
            </w:pPr>
            <w:r>
              <w:rPr/>
              <w:t>标的清单</w:t>
            </w:r>
          </w:p>
          <w:p>
            <w:pPr>
              <w:pStyle w:val="null3"/>
            </w:pPr>
            <w:r>
              <w:rPr/>
              <w:t>中小企业声明函</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w:t>
            </w:r>
          </w:p>
        </w:tc>
        <w:tc>
          <w:tcPr>
            <w:tcW w:type="dxa" w:w="1661"/>
          </w:tcPr>
          <w:p>
            <w:pPr>
              <w:pStyle w:val="null3"/>
            </w:pPr>
            <w:r>
              <w:rPr/>
              <w:t>对符合《政府采购促进中小企业发展管理办法》（财库〔2020〕46号）规定的小微企业报价给予10%的扣除，用扣除后的价格参加评审。</w:t>
            </w:r>
          </w:p>
        </w:tc>
        <w:tc>
          <w:tcPr>
            <w:tcW w:type="dxa" w:w="1661"/>
          </w:tcPr>
          <w:p>
            <w:pPr>
              <w:pStyle w:val="null3"/>
            </w:pPr>
            <w:r>
              <w:rPr/>
              <w:t>中小企业声明函 残疾人福利性单位声明函 标的清单 报价表 监狱企业的证明文件</w:t>
            </w:r>
          </w:p>
        </w:tc>
      </w:tr>
    </w:tbl>
    <w:p>
      <w:pPr>
        <w:pStyle w:val="null3"/>
        <w:outlineLvl w:val="2"/>
      </w:pPr>
      <w:r>
        <w:rPr>
          <w:b/>
          <w:sz w:val="28"/>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b/>
          <w:sz w:val="28"/>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b/>
          <w:sz w:val="36"/>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pPr>
      <w:r>
        <w:rPr/>
        <w:t xml:space="preserve"> </w:t>
        <w:br/>
        <w:br w:type="page"/>
      </w:r>
    </w:p>
    <w:p>
      <w:pPr>
        <w:pStyle w:val="null3"/>
        <w:jc w:val="center"/>
        <w:outlineLvl w:val="1"/>
      </w:pPr>
      <w:r>
        <w:rPr>
          <w:b/>
          <w:sz w:val="36"/>
        </w:rPr>
        <w:t>第八章 拟签订采购合同文本</w:t>
      </w:r>
    </w:p>
    <w:p>
      <w:pPr>
        <w:pStyle w:val="null3"/>
      </w:pPr>
      <w:r>
        <w:rPr/>
        <w:t>详见附件：协议书.docx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