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雁塔区2024年庭院燃气老化管网更新改造项目四（27个小区）施工图设计</w:t>
      </w:r>
    </w:p>
    <w:p>
      <w:pPr>
        <w:pStyle w:val="null3"/>
        <w:jc w:val="center"/>
        <w:outlineLvl w:val="2"/>
      </w:pPr>
      <w:r>
        <w:rPr>
          <w:b/>
          <w:sz w:val="28"/>
        </w:rPr>
        <w:t>采购项目编号：</w:t>
      </w:r>
      <w:r>
        <w:rPr>
          <w:b/>
          <w:sz w:val="28"/>
        </w:rPr>
        <w:t>SXLX24-01-017Z(F)</w:t>
      </w:r>
      <w:r>
        <w:br/>
      </w:r>
      <w:r>
        <w:br/>
      </w:r>
      <w:r>
        <w:br/>
      </w:r>
    </w:p>
    <w:p>
      <w:pPr>
        <w:pStyle w:val="null3"/>
        <w:jc w:val="center"/>
        <w:outlineLvl w:val="2"/>
      </w:pPr>
      <w:r>
        <w:rPr>
          <w:b/>
          <w:sz w:val="28"/>
        </w:rPr>
        <w:t>西安市雁塔区住房和城乡建设局</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陕西隆信项目管理有限公司</w:t>
      </w:r>
      <w:r>
        <w:rPr/>
        <w:t>（以下简称“代理机构”）受</w:t>
      </w:r>
      <w:r>
        <w:rPr/>
        <w:t>西安市雁塔区住房和城乡建设局</w:t>
      </w:r>
      <w:r>
        <w:rPr/>
        <w:t>委托，拟对</w:t>
      </w:r>
      <w:r>
        <w:rPr/>
        <w:t>雁塔区2024年庭院燃气老化管网更新改造项目四（27个小区）施工图设计</w:t>
      </w:r>
      <w:r>
        <w:rPr/>
        <w:t>采用竞争性磋商采购方式进行采购，兹邀请供应商参加本项目的竞争性磋商。</w:t>
      </w:r>
    </w:p>
    <w:p>
      <w:pPr>
        <w:pStyle w:val="null3"/>
        <w:outlineLvl w:val="2"/>
      </w:pPr>
      <w:r>
        <w:rPr>
          <w:b/>
          <w:sz w:val="28"/>
        </w:rPr>
        <w:t>一、项目编号：</w:t>
      </w:r>
      <w:r>
        <w:rPr>
          <w:b/>
          <w:sz w:val="28"/>
        </w:rPr>
        <w:t>SXLX24-01-017Z(F)</w:t>
      </w:r>
    </w:p>
    <w:p>
      <w:pPr>
        <w:pStyle w:val="null3"/>
        <w:outlineLvl w:val="2"/>
      </w:pPr>
      <w:r>
        <w:rPr>
          <w:b/>
          <w:sz w:val="28"/>
        </w:rPr>
        <w:t>二、项目名称：</w:t>
      </w:r>
      <w:r>
        <w:rPr>
          <w:b/>
          <w:sz w:val="28"/>
        </w:rPr>
        <w:t>雁塔区2024年庭院燃气老化管网更新改造项目四（27个小区）施工图设计</w:t>
      </w:r>
    </w:p>
    <w:p>
      <w:pPr>
        <w:pStyle w:val="null3"/>
        <w:outlineLvl w:val="2"/>
      </w:pPr>
      <w:r>
        <w:rPr>
          <w:b/>
          <w:sz w:val="28"/>
        </w:rPr>
        <w:t>三、磋商项目简介</w:t>
      </w:r>
    </w:p>
    <w:p>
      <w:pPr>
        <w:pStyle w:val="null3"/>
        <w:ind w:firstLine="480"/>
      </w:pPr>
      <w:r>
        <w:rPr/>
        <w:t>为西安市雁塔区2024年庭院燃气老化管网更新改造项目四（27个小区）提供施工图设计，保证各项服务符合国家（行业）强制性标准及采购人要求，保证各项指标顺利达标。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p>
      <w:pPr>
        <w:pStyle w:val="null3"/>
      </w:pPr>
      <w:r>
        <w:rPr/>
        <w:t>2、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p>
      <w:pPr>
        <w:pStyle w:val="null3"/>
      </w:pPr>
      <w:r>
        <w:rPr/>
        <w:t>3、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西安市雁塔区住房和城乡建设局</w:t>
      </w:r>
    </w:p>
    <w:p>
      <w:pPr>
        <w:pStyle w:val="null3"/>
      </w:pPr>
      <w:r>
        <w:rPr/>
        <w:t xml:space="preserve"> 地址： </w:t>
      </w:r>
      <w:r>
        <w:rPr/>
        <w:t>西安市雁塔区翠华南路146号</w:t>
      </w:r>
    </w:p>
    <w:p>
      <w:pPr>
        <w:pStyle w:val="null3"/>
      </w:pPr>
      <w:r>
        <w:rPr/>
        <w:t xml:space="preserve"> 邮编： </w:t>
      </w:r>
      <w:r>
        <w:rPr/>
        <w:t>/</w:t>
      </w:r>
    </w:p>
    <w:p>
      <w:pPr>
        <w:pStyle w:val="null3"/>
      </w:pPr>
      <w:r>
        <w:rPr/>
        <w:t xml:space="preserve"> 联系人： </w:t>
      </w:r>
      <w:r>
        <w:rPr/>
        <w:t>石小磊</w:t>
      </w:r>
    </w:p>
    <w:p>
      <w:pPr>
        <w:pStyle w:val="null3"/>
      </w:pPr>
      <w:r>
        <w:rPr/>
        <w:t xml:space="preserve"> 联系电话： </w:t>
      </w:r>
      <w:r>
        <w:rPr/>
        <w:t>029-85268414</w:t>
      </w:r>
    </w:p>
    <w:p>
      <w:pPr>
        <w:pStyle w:val="null3"/>
        <w:outlineLvl w:val="3"/>
      </w:pPr>
      <w:r>
        <w:rPr>
          <w:b/>
          <w:sz w:val="24"/>
        </w:rPr>
        <w:t>代理机构：</w:t>
      </w:r>
      <w:r>
        <w:rPr>
          <w:b/>
          <w:sz w:val="24"/>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任甜、郑婧婧、冷冰、袁歆雨</w:t>
      </w:r>
    </w:p>
    <w:p>
      <w:pPr>
        <w:pStyle w:val="null3"/>
      </w:pPr>
      <w:r>
        <w:rPr/>
        <w:t xml:space="preserve"> 联系电话： </w:t>
      </w:r>
      <w:r>
        <w:rPr/>
        <w:t>029-88489979-8105</w:t>
      </w:r>
    </w:p>
    <w:p>
      <w:pPr>
        <w:pStyle w:val="null3"/>
        <w:outlineLvl w:val="3"/>
      </w:pPr>
      <w:r>
        <w:rPr>
          <w:b/>
          <w:sz w:val="24"/>
        </w:rPr>
        <w:t>采购监督机构：</w:t>
      </w:r>
      <w:r>
        <w:rPr>
          <w:b/>
          <w:sz w:val="24"/>
        </w:rPr>
        <w:t>西安市雁塔区政府采购管理科</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采购包1：868,900.00元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关于招标代理服务收费有关问题的通知》（发改办价格〔2003〕857号）《关于进一步放开建设项目专项业务服务价格的通知》（发改价格〔2015〕299号）文件规定的标准收取，不足捌仟圆按捌仟圆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陕西隆信项目管理有限公司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符合国家（行业）强制性标准及采购人要求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联系人：任甜、郑婧婧、冷冰、袁歆雨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为西安市雁塔区2024年庭院燃气老化管网更新改造项目四（27个小区）提供施工图设计，保证各项服务符合国家（行业）强制性标准及采购人要求，保证各项指标顺利达标。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868,900.00</w:t>
      </w:r>
    </w:p>
    <w:p>
      <w:pPr>
        <w:pStyle w:val="null3"/>
      </w:pPr>
      <w:r>
        <w:rPr/>
        <w:t>采购包最高限价（元）: 868,900.00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雁塔区2024年庭院燃气老化管网更新改造项目四（27个小区）施工图设计</w:t>
            </w:r>
          </w:p>
        </w:tc>
        <w:tc>
          <w:tcPr>
            <w:tcW w:type="dxa" w:w="831"/>
          </w:tcPr>
          <w:p>
            <w:pPr>
              <w:pStyle w:val="null3"/>
              <w:jc w:val="right"/>
            </w:pPr>
            <w:r>
              <w:rPr/>
              <w:t>1.00</w:t>
            </w:r>
          </w:p>
        </w:tc>
        <w:tc>
          <w:tcPr>
            <w:tcW w:type="dxa" w:w="831"/>
          </w:tcPr>
          <w:p>
            <w:pPr>
              <w:pStyle w:val="null3"/>
              <w:jc w:val="right"/>
            </w:pPr>
            <w:r>
              <w:rPr/>
              <w:t>868,900.00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标的名称：雁塔区2024年庭院燃气老化管网更新改造项目四（27个小区）施工图设计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w:t>
            </w:r>
          </w:p>
          <w:p>
            <w:pPr>
              <w:pStyle w:val="null3"/>
              <w:ind w:firstLine="420"/>
              <w:jc w:val="both"/>
            </w:pPr>
            <w:r>
              <w:rPr>
                <w:rFonts w:ascii="宋体" w:hAnsi="宋体" w:cs="宋体" w:eastAsia="宋体"/>
                <w:color w:val="000000"/>
                <w:sz w:val="21"/>
              </w:rPr>
              <w:t>1.1</w:t>
            </w:r>
            <w:r>
              <w:rPr>
                <w:rFonts w:ascii="宋体" w:hAnsi="宋体" w:cs="宋体" w:eastAsia="宋体"/>
                <w:color w:val="000000"/>
                <w:sz w:val="21"/>
              </w:rPr>
              <w:t>为西安市雁塔区2024年庭院燃气老化管网更新改造项目四（27个小区）提供施工图设计，保证各项服务符合国家（行业）强制性标准及采购人要求，保证各项指标顺利达标。</w:t>
            </w:r>
          </w:p>
          <w:p>
            <w:pPr>
              <w:pStyle w:val="null3"/>
              <w:ind w:firstLine="420"/>
              <w:jc w:val="both"/>
            </w:pPr>
            <w:r>
              <w:rPr>
                <w:rFonts w:ascii="宋体" w:hAnsi="宋体" w:cs="宋体" w:eastAsia="宋体"/>
                <w:color w:val="000000"/>
                <w:sz w:val="21"/>
              </w:rPr>
              <w:t>1.2</w:t>
            </w:r>
            <w:r>
              <w:rPr>
                <w:rFonts w:ascii="宋体" w:hAnsi="宋体" w:cs="宋体" w:eastAsia="宋体"/>
                <w:color w:val="000000"/>
                <w:sz w:val="21"/>
              </w:rPr>
              <w:t>本项目所属行业为:</w:t>
            </w:r>
            <w:r>
              <w:rPr>
                <w:rFonts w:ascii="宋体" w:hAnsi="宋体" w:cs="宋体" w:eastAsia="宋体"/>
                <w:color w:val="000000"/>
                <w:sz w:val="21"/>
                <w:u w:val="single"/>
              </w:rPr>
              <w:t xml:space="preserve">其他未列明行业 </w:t>
            </w:r>
            <w:r>
              <w:rPr>
                <w:rFonts w:ascii="宋体" w:hAnsi="宋体" w:cs="宋体" w:eastAsia="宋体"/>
                <w:color w:val="000000"/>
                <w:sz w:val="21"/>
              </w:rPr>
              <w:t>。（从业人员300人以下的为中小微型企业。其中，从业人员100人及以上的为中型企业；从业人员10人及以上的为小型企业；从业人员10人以下的为微型企业。）</w:t>
            </w:r>
          </w:p>
          <w:p>
            <w:pPr>
              <w:pStyle w:val="null3"/>
              <w:jc w:val="both"/>
            </w:pPr>
            <w:r>
              <w:rPr>
                <w:rFonts w:ascii="宋体" w:hAnsi="宋体" w:cs="宋体" w:eastAsia="宋体"/>
                <w:b/>
                <w:color w:val="000000"/>
                <w:sz w:val="24"/>
              </w:rPr>
              <w:t>二、服务内容与要求</w:t>
            </w:r>
          </w:p>
          <w:p>
            <w:pPr>
              <w:pStyle w:val="null3"/>
              <w:ind w:firstLine="402"/>
              <w:jc w:val="both"/>
            </w:pPr>
            <w:r>
              <w:rPr>
                <w:rFonts w:ascii="宋体" w:hAnsi="宋体" w:cs="宋体" w:eastAsia="宋体"/>
                <w:b/>
                <w:color w:val="000000"/>
                <w:sz w:val="21"/>
              </w:rPr>
              <w:t>2.1</w:t>
            </w:r>
            <w:r>
              <w:rPr>
                <w:rFonts w:ascii="宋体" w:hAnsi="宋体" w:cs="宋体" w:eastAsia="宋体"/>
                <w:b/>
                <w:color w:val="000000"/>
                <w:sz w:val="21"/>
              </w:rPr>
              <w:t>设计范围及内容</w:t>
            </w:r>
          </w:p>
          <w:p>
            <w:pPr>
              <w:pStyle w:val="null3"/>
              <w:ind w:firstLine="420"/>
              <w:jc w:val="both"/>
            </w:pPr>
            <w:r>
              <w:rPr>
                <w:rFonts w:ascii="宋体" w:hAnsi="宋体" w:cs="宋体" w:eastAsia="宋体"/>
                <w:color w:val="000000"/>
                <w:sz w:val="21"/>
              </w:rPr>
              <w:t>对雁塔区27个小区燃气管道进行更新改造进行施工图设计，涉及庭院管道21654.5米，立管25067米，用户设施10232户；内容主要包含更换镀锌管、新型自闭阀、智能物联网表、燃气用不锈钢波纹软管，加装电磁切断阀及燃气泄漏报警器。</w:t>
            </w:r>
          </w:p>
          <w:p>
            <w:pPr>
              <w:pStyle w:val="null3"/>
              <w:ind w:firstLine="402"/>
              <w:jc w:val="both"/>
            </w:pPr>
            <w:r>
              <w:rPr>
                <w:rFonts w:ascii="宋体" w:hAnsi="宋体" w:cs="宋体" w:eastAsia="宋体"/>
                <w:b/>
                <w:color w:val="000000"/>
                <w:sz w:val="21"/>
              </w:rPr>
              <w:t>2.2</w:t>
            </w:r>
            <w:r>
              <w:rPr>
                <w:rFonts w:ascii="宋体" w:hAnsi="宋体" w:cs="宋体" w:eastAsia="宋体"/>
                <w:b/>
                <w:color w:val="000000"/>
                <w:sz w:val="21"/>
              </w:rPr>
              <w:t>设计依据</w:t>
            </w:r>
          </w:p>
          <w:p>
            <w:pPr>
              <w:pStyle w:val="null3"/>
              <w:ind w:firstLine="420"/>
              <w:jc w:val="both"/>
            </w:pPr>
            <w:r>
              <w:rPr>
                <w:rFonts w:ascii="宋体" w:hAnsi="宋体" w:cs="宋体" w:eastAsia="宋体"/>
                <w:color w:val="000000"/>
                <w:sz w:val="21"/>
              </w:rPr>
              <w:t>（1）《建筑设计防火规范》GB50016-2014（2018 年版）</w:t>
            </w:r>
          </w:p>
          <w:p>
            <w:pPr>
              <w:pStyle w:val="null3"/>
              <w:ind w:firstLine="420"/>
              <w:jc w:val="both"/>
            </w:pPr>
            <w:r>
              <w:rPr>
                <w:rFonts w:ascii="宋体" w:hAnsi="宋体" w:cs="宋体" w:eastAsia="宋体"/>
                <w:color w:val="000000"/>
                <w:sz w:val="21"/>
              </w:rPr>
              <w:t>（2）《城镇燃气技术规范》GB50494-2009</w:t>
            </w:r>
          </w:p>
          <w:p>
            <w:pPr>
              <w:pStyle w:val="null3"/>
              <w:ind w:firstLine="420"/>
              <w:jc w:val="both"/>
            </w:pPr>
            <w:r>
              <w:rPr>
                <w:rFonts w:ascii="宋体" w:hAnsi="宋体" w:cs="宋体" w:eastAsia="宋体"/>
                <w:color w:val="000000"/>
                <w:sz w:val="21"/>
              </w:rPr>
              <w:t>（3）《城镇燃气设计规范》GB50028-2006</w:t>
            </w:r>
          </w:p>
          <w:p>
            <w:pPr>
              <w:pStyle w:val="null3"/>
              <w:ind w:firstLine="420"/>
              <w:jc w:val="both"/>
            </w:pPr>
            <w:r>
              <w:rPr>
                <w:rFonts w:ascii="宋体" w:hAnsi="宋体" w:cs="宋体" w:eastAsia="宋体"/>
                <w:color w:val="000000"/>
                <w:sz w:val="21"/>
              </w:rPr>
              <w:t>（4）《聚乙烯燃气管道工程技术标准》CJJ63-2018</w:t>
            </w:r>
          </w:p>
          <w:p>
            <w:pPr>
              <w:pStyle w:val="null3"/>
              <w:ind w:firstLine="420"/>
              <w:jc w:val="both"/>
            </w:pPr>
            <w:r>
              <w:rPr>
                <w:rFonts w:ascii="宋体" w:hAnsi="宋体" w:cs="宋体" w:eastAsia="宋体"/>
                <w:color w:val="000000"/>
                <w:sz w:val="21"/>
              </w:rPr>
              <w:t>（5）《城镇燃气输配工程施工及验收规范》CJJ33-2005</w:t>
            </w:r>
          </w:p>
          <w:p>
            <w:pPr>
              <w:pStyle w:val="null3"/>
              <w:ind w:firstLine="420"/>
              <w:jc w:val="both"/>
            </w:pPr>
            <w:r>
              <w:rPr>
                <w:rFonts w:ascii="宋体" w:hAnsi="宋体" w:cs="宋体" w:eastAsia="宋体"/>
                <w:color w:val="000000"/>
                <w:sz w:val="21"/>
              </w:rPr>
              <w:t>（6）《城镇燃气室内工程施工与验收规范》CJJ94-2009</w:t>
            </w:r>
          </w:p>
          <w:p>
            <w:pPr>
              <w:pStyle w:val="null3"/>
              <w:ind w:firstLine="420"/>
              <w:jc w:val="both"/>
            </w:pPr>
            <w:r>
              <w:rPr>
                <w:rFonts w:ascii="宋体" w:hAnsi="宋体" w:cs="宋体" w:eastAsia="宋体"/>
                <w:color w:val="000000"/>
                <w:sz w:val="21"/>
              </w:rPr>
              <w:t>（7）《钢制管道管体腐蚀损伤评价方法》SY/T6151-2009</w:t>
            </w:r>
          </w:p>
          <w:p>
            <w:pPr>
              <w:pStyle w:val="null3"/>
              <w:ind w:firstLine="420"/>
              <w:jc w:val="both"/>
            </w:pPr>
            <w:r>
              <w:rPr>
                <w:rFonts w:ascii="宋体" w:hAnsi="宋体" w:cs="宋体" w:eastAsia="宋体"/>
                <w:color w:val="000000"/>
                <w:sz w:val="21"/>
              </w:rPr>
              <w:t>（8）《宽边管件连接涂覆燃气管道技术规程》CGAS001-2016</w:t>
            </w:r>
          </w:p>
          <w:p>
            <w:pPr>
              <w:pStyle w:val="null3"/>
              <w:ind w:firstLine="420"/>
              <w:jc w:val="both"/>
            </w:pPr>
            <w:r>
              <w:rPr>
                <w:rFonts w:ascii="宋体" w:hAnsi="宋体" w:cs="宋体" w:eastAsia="宋体"/>
                <w:color w:val="000000"/>
                <w:sz w:val="21"/>
              </w:rPr>
              <w:t>（9）本项目前期可行性研究报告、及相关批复文件。</w:t>
            </w:r>
          </w:p>
          <w:p>
            <w:pPr>
              <w:pStyle w:val="null3"/>
              <w:ind w:firstLine="402"/>
              <w:jc w:val="both"/>
            </w:pPr>
            <w:r>
              <w:rPr>
                <w:rFonts w:ascii="宋体" w:hAnsi="宋体" w:cs="宋体" w:eastAsia="宋体"/>
                <w:b/>
                <w:color w:val="000000"/>
                <w:sz w:val="21"/>
              </w:rPr>
              <w:t>2.3</w:t>
            </w:r>
            <w:r>
              <w:rPr>
                <w:rFonts w:ascii="宋体" w:hAnsi="宋体" w:cs="宋体" w:eastAsia="宋体"/>
                <w:b/>
                <w:color w:val="000000"/>
                <w:sz w:val="21"/>
              </w:rPr>
              <w:t>设计原则及要求</w:t>
            </w:r>
          </w:p>
          <w:p>
            <w:pPr>
              <w:pStyle w:val="null3"/>
              <w:ind w:firstLine="420"/>
              <w:jc w:val="both"/>
            </w:pPr>
            <w:r>
              <w:rPr>
                <w:rFonts w:ascii="宋体" w:hAnsi="宋体" w:cs="宋体" w:eastAsia="宋体"/>
                <w:color w:val="000000"/>
                <w:sz w:val="21"/>
              </w:rPr>
              <w:t>（一）设计原则</w:t>
            </w:r>
          </w:p>
          <w:p>
            <w:pPr>
              <w:pStyle w:val="null3"/>
              <w:ind w:firstLine="420"/>
              <w:jc w:val="both"/>
            </w:pPr>
            <w:r>
              <w:rPr>
                <w:rFonts w:ascii="宋体" w:hAnsi="宋体" w:cs="宋体" w:eastAsia="宋体"/>
                <w:color w:val="000000"/>
                <w:sz w:val="21"/>
              </w:rPr>
              <w:t>坚持维修为主、改造为辅，做到技术合理、经济合算、运行可靠，按不低于我市基础设施的平均水平实施维修改造，保证维修改造后的设备设施符合现行标准、正常运行。</w:t>
            </w:r>
          </w:p>
          <w:p>
            <w:pPr>
              <w:pStyle w:val="null3"/>
            </w:pPr>
            <w:r>
              <w:rPr>
                <w:rFonts w:ascii="宋体" w:hAnsi="宋体" w:cs="宋体" w:eastAsia="宋体"/>
                <w:color w:val="000000"/>
              </w:rPr>
              <w:t>（1）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pStyle w:val="null3"/>
            </w:pPr>
            <w:r>
              <w:rPr>
                <w:rFonts w:ascii="宋体" w:hAnsi="宋体" w:cs="宋体" w:eastAsia="宋体"/>
                <w:color w:val="000000"/>
              </w:rPr>
              <w:t>（2）根据可研确定的设计方案及参数，进一步优化设计方案，做到既满足使用需要又节约投资；</w:t>
            </w:r>
          </w:p>
          <w:p>
            <w:pPr>
              <w:pStyle w:val="null3"/>
            </w:pPr>
            <w:r>
              <w:rPr>
                <w:rFonts w:ascii="宋体" w:hAnsi="宋体" w:cs="宋体" w:eastAsia="宋体"/>
                <w:color w:val="000000"/>
              </w:rPr>
              <w:t>（3）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w:t>
            </w:r>
          </w:p>
          <w:p>
            <w:pPr>
              <w:pStyle w:val="null3"/>
            </w:pPr>
            <w:r>
              <w:rPr>
                <w:rFonts w:ascii="宋体" w:hAnsi="宋体" w:cs="宋体" w:eastAsia="宋体"/>
                <w:color w:val="000000"/>
              </w:rPr>
              <w:t>（4）结合现场实际，根据建筑物、道路、围墙以及其他市政管道、电信电缆位置，统筹兼顾，合理布置管道路由位置；</w:t>
            </w:r>
          </w:p>
          <w:p>
            <w:pPr>
              <w:pStyle w:val="null3"/>
            </w:pPr>
            <w:r>
              <w:rPr>
                <w:rFonts w:ascii="宋体" w:hAnsi="宋体" w:cs="宋体" w:eastAsia="宋体"/>
                <w:color w:val="000000"/>
              </w:rPr>
              <w:t>（5）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管网改造与科技进步相结合。坚持高起点、高标准、超前规划的指导思想，充分考虑高速度发展的特征，为城市发展预留适当的市政容量。</w:t>
            </w:r>
          </w:p>
          <w:p>
            <w:pPr>
              <w:pStyle w:val="null3"/>
            </w:pPr>
            <w:r>
              <w:rPr>
                <w:rFonts w:ascii="宋体" w:hAnsi="宋体" w:cs="宋体" w:eastAsia="宋体"/>
                <w:color w:val="000000"/>
              </w:rPr>
              <w:t>（二）设计标准</w:t>
            </w:r>
          </w:p>
          <w:p>
            <w:pPr>
              <w:pStyle w:val="null3"/>
              <w:ind w:firstLine="420"/>
              <w:jc w:val="both"/>
            </w:pPr>
            <w:r>
              <w:rPr>
                <w:rFonts w:ascii="宋体" w:hAnsi="宋体" w:cs="宋体" w:eastAsia="宋体"/>
                <w:color w:val="000000"/>
                <w:sz w:val="21"/>
              </w:rPr>
              <w:t>（1）庭院设施：</w:t>
            </w:r>
          </w:p>
          <w:p>
            <w:pPr>
              <w:pStyle w:val="null3"/>
              <w:ind w:firstLine="420"/>
              <w:jc w:val="both"/>
            </w:pPr>
            <w:r>
              <w:rPr>
                <w:rFonts w:ascii="宋体" w:hAnsi="宋体" w:cs="宋体" w:eastAsia="宋体"/>
                <w:color w:val="000000"/>
                <w:sz w:val="21"/>
              </w:rPr>
              <w:t>1</w:t>
            </w:r>
            <w:r>
              <w:rPr>
                <w:rFonts w:ascii="宋体" w:hAnsi="宋体" w:cs="宋体" w:eastAsia="宋体"/>
                <w:color w:val="000000"/>
                <w:sz w:val="21"/>
              </w:rPr>
              <w:t>）原庭院管道为铸铁材料的必须改造为钢管或 PE 管，为钢制材料的（埋地或架空），管道腐蚀层评级为差劣的按照《钢制管道管体腐蚀损伤评价方法》SY/T6151的有关规定进行更换；</w:t>
            </w:r>
          </w:p>
          <w:p>
            <w:pPr>
              <w:pStyle w:val="null3"/>
              <w:ind w:firstLine="420"/>
              <w:jc w:val="both"/>
            </w:pPr>
            <w:r>
              <w:rPr>
                <w:rFonts w:ascii="宋体" w:hAnsi="宋体" w:cs="宋体" w:eastAsia="宋体"/>
                <w:color w:val="000000"/>
                <w:sz w:val="21"/>
              </w:rPr>
              <w:t>2</w:t>
            </w:r>
            <w:r>
              <w:rPr>
                <w:rFonts w:ascii="宋体" w:hAnsi="宋体" w:cs="宋体" w:eastAsia="宋体"/>
                <w:color w:val="000000"/>
                <w:sz w:val="21"/>
              </w:rPr>
              <w:t>）原庭院管道被占压存在运行风险隐患的必须改造，拆除占压或迁移管线或架空；</w:t>
            </w:r>
          </w:p>
          <w:p>
            <w:pPr>
              <w:pStyle w:val="null3"/>
              <w:ind w:firstLine="420"/>
              <w:jc w:val="both"/>
            </w:pPr>
            <w:r>
              <w:rPr>
                <w:rFonts w:ascii="宋体" w:hAnsi="宋体" w:cs="宋体" w:eastAsia="宋体"/>
                <w:color w:val="000000"/>
                <w:sz w:val="21"/>
              </w:rPr>
              <w:t>3</w:t>
            </w:r>
            <w:r>
              <w:rPr>
                <w:rFonts w:ascii="宋体" w:hAnsi="宋体" w:cs="宋体" w:eastAsia="宋体"/>
                <w:color w:val="000000"/>
                <w:sz w:val="21"/>
              </w:rPr>
              <w:t>）原供气调压设备安全间距不足，或不符合现行国家标准或老旧无法维修的必须迁移，更换改造；</w:t>
            </w:r>
          </w:p>
          <w:p>
            <w:pPr>
              <w:pStyle w:val="null3"/>
              <w:ind w:firstLine="420"/>
              <w:jc w:val="both"/>
            </w:pPr>
            <w:r>
              <w:rPr>
                <w:rFonts w:ascii="宋体" w:hAnsi="宋体" w:cs="宋体" w:eastAsia="宋体"/>
                <w:color w:val="000000"/>
                <w:sz w:val="21"/>
              </w:rPr>
              <w:t>4</w:t>
            </w:r>
            <w:r>
              <w:rPr>
                <w:rFonts w:ascii="宋体" w:hAnsi="宋体" w:cs="宋体" w:eastAsia="宋体"/>
                <w:color w:val="000000"/>
                <w:sz w:val="21"/>
              </w:rPr>
              <w:t>）原老旧、年久失修、易失效的阀门必须改造换新。</w:t>
            </w:r>
          </w:p>
          <w:p>
            <w:pPr>
              <w:pStyle w:val="null3"/>
              <w:ind w:firstLine="420"/>
              <w:jc w:val="both"/>
            </w:pPr>
            <w:r>
              <w:rPr>
                <w:rFonts w:ascii="宋体" w:hAnsi="宋体" w:cs="宋体" w:eastAsia="宋体"/>
                <w:color w:val="000000"/>
                <w:sz w:val="21"/>
              </w:rPr>
              <w:t>5</w:t>
            </w:r>
            <w:r>
              <w:rPr>
                <w:rFonts w:ascii="宋体" w:hAnsi="宋体" w:cs="宋体" w:eastAsia="宋体"/>
                <w:color w:val="000000"/>
                <w:sz w:val="21"/>
              </w:rPr>
              <w:t>）原资产移交单位自建并自行管理的燃气设施，在移交原设备设施台账等基础信息资料的同时，依据上述标准及现行规范制定维修改造方案实施改造。</w:t>
            </w:r>
          </w:p>
          <w:p>
            <w:pPr>
              <w:pStyle w:val="null3"/>
              <w:ind w:firstLine="420"/>
              <w:jc w:val="both"/>
            </w:pPr>
            <w:r>
              <w:rPr>
                <w:rFonts w:ascii="宋体" w:hAnsi="宋体" w:cs="宋体" w:eastAsia="宋体"/>
                <w:color w:val="000000"/>
                <w:sz w:val="21"/>
              </w:rPr>
              <w:t>（2）室内设施：</w:t>
            </w:r>
          </w:p>
          <w:p>
            <w:pPr>
              <w:pStyle w:val="null3"/>
              <w:ind w:firstLine="420"/>
              <w:jc w:val="both"/>
            </w:pPr>
            <w:r>
              <w:rPr>
                <w:rFonts w:ascii="宋体" w:hAnsi="宋体" w:cs="宋体" w:eastAsia="宋体"/>
                <w:color w:val="000000"/>
                <w:sz w:val="21"/>
              </w:rPr>
              <w:t>1</w:t>
            </w:r>
            <w:r>
              <w:rPr>
                <w:rFonts w:ascii="宋体" w:hAnsi="宋体" w:cs="宋体" w:eastAsia="宋体"/>
                <w:color w:val="000000"/>
                <w:sz w:val="21"/>
              </w:rPr>
              <w:t>）室内立管存在装修包裹、锈蚀严重、安全间距不足、无法在原管位整改维修的必须改造为室外立管，减少室内运行安全风险。室外爬墙立管根据锈蚀程度确定具体整改或更换措施；</w:t>
            </w:r>
          </w:p>
          <w:p>
            <w:pPr>
              <w:pStyle w:val="null3"/>
              <w:ind w:firstLine="420"/>
              <w:jc w:val="both"/>
            </w:pPr>
            <w:r>
              <w:rPr>
                <w:rFonts w:ascii="宋体" w:hAnsi="宋体" w:cs="宋体" w:eastAsia="宋体"/>
                <w:color w:val="000000"/>
                <w:sz w:val="21"/>
              </w:rPr>
              <w:t>2</w:t>
            </w:r>
            <w:r>
              <w:rPr>
                <w:rFonts w:ascii="宋体" w:hAnsi="宋体" w:cs="宋体" w:eastAsia="宋体"/>
                <w:color w:val="000000"/>
                <w:sz w:val="21"/>
              </w:rPr>
              <w:t>）室内燃气表具使用超过五年以上（国家规程为一般不超过十年，因考虑改造周期和改造后会很快到更换时限）进行改造更换；</w:t>
            </w:r>
          </w:p>
          <w:p>
            <w:pPr>
              <w:pStyle w:val="null3"/>
              <w:ind w:firstLine="420"/>
              <w:jc w:val="both"/>
            </w:pPr>
            <w:r>
              <w:rPr>
                <w:rFonts w:ascii="宋体" w:hAnsi="宋体" w:cs="宋体" w:eastAsia="宋体"/>
                <w:color w:val="000000"/>
                <w:sz w:val="21"/>
              </w:rPr>
              <w:t>3</w:t>
            </w:r>
            <w:r>
              <w:rPr>
                <w:rFonts w:ascii="宋体" w:hAnsi="宋体" w:cs="宋体" w:eastAsia="宋体"/>
                <w:color w:val="000000"/>
                <w:sz w:val="21"/>
              </w:rPr>
              <w:t>）为确保户内供用气安全，按照最新国家相关规范和要求，对原室内连接灶具的自闭阀、橡胶软管，必须彻底更新为新型丝接自闭阀和金属软管。</w:t>
            </w:r>
          </w:p>
          <w:p>
            <w:pPr>
              <w:pStyle w:val="null3"/>
              <w:ind w:firstLine="402"/>
              <w:jc w:val="both"/>
            </w:pPr>
            <w:r>
              <w:rPr>
                <w:rFonts w:ascii="宋体" w:hAnsi="宋体" w:cs="宋体" w:eastAsia="宋体"/>
                <w:b/>
                <w:color w:val="000000"/>
                <w:sz w:val="21"/>
              </w:rPr>
              <w:t>2.4</w:t>
            </w:r>
            <w:r>
              <w:rPr>
                <w:rFonts w:ascii="宋体" w:hAnsi="宋体" w:cs="宋体" w:eastAsia="宋体"/>
                <w:b/>
                <w:color w:val="000000"/>
                <w:sz w:val="21"/>
              </w:rPr>
              <w:t>设计阶段：</w:t>
            </w:r>
            <w:r>
              <w:rPr>
                <w:rFonts w:ascii="宋体" w:hAnsi="宋体" w:cs="宋体" w:eastAsia="宋体"/>
                <w:color w:val="000000"/>
                <w:sz w:val="21"/>
              </w:rPr>
              <w:t>施工图设计阶段</w:t>
            </w:r>
          </w:p>
          <w:p>
            <w:pPr>
              <w:pStyle w:val="null3"/>
              <w:ind w:firstLine="402"/>
              <w:jc w:val="both"/>
            </w:pPr>
            <w:r>
              <w:rPr>
                <w:rFonts w:ascii="宋体" w:hAnsi="宋体" w:cs="宋体" w:eastAsia="宋体"/>
                <w:b/>
                <w:color w:val="000000"/>
                <w:sz w:val="21"/>
              </w:rPr>
              <w:t>2.5</w:t>
            </w:r>
            <w:r>
              <w:rPr>
                <w:rFonts w:ascii="宋体" w:hAnsi="宋体" w:cs="宋体" w:eastAsia="宋体"/>
                <w:b/>
                <w:color w:val="000000"/>
                <w:sz w:val="21"/>
              </w:rPr>
              <w:t>成果内容：</w:t>
            </w:r>
            <w:r>
              <w:rPr>
                <w:rFonts w:ascii="宋体" w:hAnsi="宋体" w:cs="宋体" w:eastAsia="宋体"/>
                <w:color w:val="000000"/>
                <w:sz w:val="21"/>
              </w:rPr>
              <w:t>施工图设计图纸。</w:t>
            </w:r>
          </w:p>
          <w:p>
            <w:pPr>
              <w:pStyle w:val="null3"/>
              <w:ind w:firstLine="402"/>
              <w:jc w:val="both"/>
            </w:pPr>
            <w:r>
              <w:rPr>
                <w:rFonts w:ascii="宋体" w:hAnsi="宋体" w:cs="宋体" w:eastAsia="宋体"/>
                <w:b/>
                <w:color w:val="000000"/>
                <w:sz w:val="21"/>
              </w:rPr>
              <w:t>2.6</w:t>
            </w:r>
            <w:r>
              <w:rPr>
                <w:rFonts w:ascii="宋体" w:hAnsi="宋体" w:cs="宋体" w:eastAsia="宋体"/>
                <w:b/>
                <w:color w:val="000000"/>
                <w:sz w:val="21"/>
              </w:rPr>
              <w:t>成果提供方式：</w:t>
            </w:r>
            <w:r>
              <w:rPr>
                <w:rFonts w:ascii="宋体" w:hAnsi="宋体" w:cs="宋体" w:eastAsia="宋体"/>
                <w:color w:val="000000"/>
                <w:sz w:val="21"/>
              </w:rPr>
              <w:t>电子版</w:t>
            </w:r>
            <w:r>
              <w:rPr>
                <w:rFonts w:ascii="宋体" w:hAnsi="宋体" w:cs="宋体" w:eastAsia="宋体"/>
                <w:color w:val="000000"/>
                <w:sz w:val="21"/>
                <w:u w:val="single"/>
              </w:rPr>
              <w:t>1</w:t>
            </w:r>
            <w:r>
              <w:rPr>
                <w:rFonts w:ascii="宋体" w:hAnsi="宋体" w:cs="宋体" w:eastAsia="宋体"/>
                <w:color w:val="000000"/>
                <w:sz w:val="21"/>
              </w:rPr>
              <w:t>份（整套图纸采用PDF格式），图纸成册12份。</w:t>
            </w:r>
          </w:p>
          <w:p>
            <w:pPr>
              <w:pStyle w:val="null3"/>
              <w:jc w:val="both"/>
            </w:pPr>
            <w:r>
              <w:rPr>
                <w:rFonts w:ascii="宋体" w:hAnsi="宋体" w:cs="宋体" w:eastAsia="宋体"/>
                <w:b/>
                <w:color w:val="000000"/>
                <w:sz w:val="24"/>
              </w:rPr>
              <w:t>三、质量要求</w:t>
            </w:r>
          </w:p>
          <w:p>
            <w:pPr>
              <w:pStyle w:val="null3"/>
              <w:ind w:firstLine="420"/>
              <w:jc w:val="both"/>
            </w:pPr>
            <w:r>
              <w:rPr>
                <w:rFonts w:ascii="宋体" w:hAnsi="宋体" w:cs="宋体" w:eastAsia="宋体"/>
                <w:color w:val="000000"/>
                <w:sz w:val="21"/>
              </w:rPr>
              <w:t>3.1</w:t>
            </w:r>
            <w:r>
              <w:rPr>
                <w:rFonts w:ascii="宋体" w:hAnsi="宋体" w:cs="宋体" w:eastAsia="宋体"/>
                <w:color w:val="000000"/>
                <w:sz w:val="21"/>
              </w:rPr>
              <w:t>服务质量：合格。</w:t>
            </w:r>
          </w:p>
          <w:p>
            <w:pPr>
              <w:pStyle w:val="null3"/>
              <w:ind w:firstLine="313"/>
            </w:pPr>
            <w:r>
              <w:rPr>
                <w:rFonts w:ascii="宋体" w:hAnsi="宋体" w:cs="宋体" w:eastAsia="宋体"/>
                <w:color w:val="000000"/>
                <w:sz w:val="21"/>
              </w:rPr>
              <w:t>3.2</w:t>
            </w:r>
            <w:r>
              <w:rPr>
                <w:rFonts w:ascii="宋体" w:hAnsi="宋体" w:cs="宋体" w:eastAsia="宋体"/>
                <w:color w:val="000000"/>
                <w:sz w:val="21"/>
              </w:rPr>
              <w:t>服务、产品（如有）执行的标准、规范：</w:t>
            </w:r>
          </w:p>
          <w:p>
            <w:pPr>
              <w:pStyle w:val="null3"/>
              <w:ind w:firstLine="313"/>
            </w:pPr>
            <w:r>
              <w:rPr>
                <w:rFonts w:ascii="宋体" w:hAnsi="宋体" w:cs="宋体" w:eastAsia="宋体"/>
                <w:color w:val="000000"/>
                <w:sz w:val="21"/>
              </w:rPr>
              <w:t>（1）国家标准、规范</w:t>
            </w:r>
            <w:r>
              <w:rPr>
                <w:rFonts w:ascii="宋体" w:hAnsi="宋体" w:cs="宋体" w:eastAsia="宋体"/>
                <w:color w:val="000000"/>
                <w:sz w:val="21"/>
                <w:u w:val="single"/>
              </w:rPr>
              <w:t>/</w:t>
            </w:r>
            <w:r>
              <w:rPr>
                <w:rFonts w:ascii="宋体" w:hAnsi="宋体" w:cs="宋体" w:eastAsia="宋体"/>
                <w:color w:val="000000"/>
                <w:sz w:val="21"/>
              </w:rPr>
              <w:t>；</w:t>
            </w:r>
          </w:p>
          <w:p>
            <w:pPr>
              <w:pStyle w:val="null3"/>
              <w:ind w:firstLine="313"/>
            </w:pPr>
            <w:r>
              <w:rPr>
                <w:rFonts w:ascii="宋体" w:hAnsi="宋体" w:cs="宋体" w:eastAsia="宋体"/>
                <w:color w:val="000000"/>
                <w:sz w:val="21"/>
              </w:rPr>
              <w:t>（2）行业标准、规范</w:t>
            </w:r>
            <w:r>
              <w:rPr>
                <w:rFonts w:ascii="宋体" w:hAnsi="宋体" w:cs="宋体" w:eastAsia="宋体"/>
                <w:color w:val="000000"/>
                <w:sz w:val="21"/>
                <w:u w:val="single"/>
              </w:rPr>
              <w:t>/</w:t>
            </w:r>
            <w:r>
              <w:rPr>
                <w:rFonts w:ascii="宋体" w:hAnsi="宋体" w:cs="宋体" w:eastAsia="宋体"/>
                <w:color w:val="000000"/>
                <w:sz w:val="21"/>
              </w:rPr>
              <w:t>；</w:t>
            </w:r>
          </w:p>
          <w:p>
            <w:pPr>
              <w:pStyle w:val="null3"/>
              <w:ind w:firstLine="313"/>
            </w:pPr>
            <w:r>
              <w:rPr>
                <w:rFonts w:ascii="宋体" w:hAnsi="宋体" w:cs="宋体" w:eastAsia="宋体"/>
                <w:color w:val="000000"/>
                <w:sz w:val="21"/>
              </w:rPr>
              <w:t>（3）地方标准、规范</w:t>
            </w:r>
            <w:r>
              <w:rPr>
                <w:rFonts w:ascii="宋体" w:hAnsi="宋体" w:cs="宋体" w:eastAsia="宋体"/>
                <w:color w:val="000000"/>
                <w:sz w:val="21"/>
                <w:u w:val="single"/>
              </w:rPr>
              <w:t>/</w:t>
            </w:r>
            <w:r>
              <w:rPr>
                <w:rFonts w:ascii="宋体" w:hAnsi="宋体" w:cs="宋体" w:eastAsia="宋体"/>
                <w:color w:val="000000"/>
                <w:sz w:val="21"/>
              </w:rPr>
              <w:t>；</w:t>
            </w:r>
          </w:p>
          <w:p>
            <w:pPr>
              <w:pStyle w:val="null3"/>
              <w:ind w:firstLine="313"/>
            </w:pPr>
            <w:r>
              <w:rPr>
                <w:rFonts w:ascii="宋体" w:hAnsi="宋体" w:cs="宋体" w:eastAsia="宋体"/>
                <w:color w:val="000000"/>
                <w:sz w:val="21"/>
              </w:rPr>
              <w:t>（4）团体标准、规范</w:t>
            </w:r>
            <w:r>
              <w:rPr>
                <w:rFonts w:ascii="宋体" w:hAnsi="宋体" w:cs="宋体" w:eastAsia="宋体"/>
                <w:color w:val="000000"/>
                <w:sz w:val="21"/>
                <w:u w:val="single"/>
              </w:rPr>
              <w:t>/</w:t>
            </w:r>
            <w:r>
              <w:rPr>
                <w:rFonts w:ascii="宋体" w:hAnsi="宋体" w:cs="宋体" w:eastAsia="宋体"/>
                <w:color w:val="000000"/>
                <w:sz w:val="21"/>
              </w:rPr>
              <w:t>；</w:t>
            </w:r>
          </w:p>
          <w:p>
            <w:pPr>
              <w:pStyle w:val="null3"/>
              <w:ind w:firstLine="313"/>
            </w:pPr>
            <w:r>
              <w:rPr>
                <w:rFonts w:ascii="宋体" w:hAnsi="宋体" w:cs="宋体" w:eastAsia="宋体"/>
                <w:color w:val="000000"/>
                <w:sz w:val="21"/>
              </w:rPr>
              <w:t>（5）企业标准、规范</w:t>
            </w:r>
            <w:r>
              <w:rPr>
                <w:rFonts w:ascii="宋体" w:hAnsi="宋体" w:cs="宋体" w:eastAsia="宋体"/>
                <w:color w:val="000000"/>
                <w:sz w:val="21"/>
                <w:u w:val="single"/>
              </w:rPr>
              <w:t>/</w:t>
            </w:r>
            <w:r>
              <w:rPr>
                <w:rFonts w:ascii="宋体" w:hAnsi="宋体" w:cs="宋体" w:eastAsia="宋体"/>
                <w:color w:val="000000"/>
                <w:sz w:val="21"/>
              </w:rPr>
              <w:t>。</w:t>
            </w:r>
          </w:p>
          <w:p>
            <w:pPr>
              <w:pStyle w:val="null3"/>
              <w:ind w:firstLine="313"/>
            </w:pPr>
            <w:r>
              <w:rPr>
                <w:rFonts w:ascii="宋体" w:hAnsi="宋体" w:cs="宋体" w:eastAsia="宋体"/>
                <w:color w:val="000000"/>
                <w:sz w:val="21"/>
              </w:rPr>
              <w:t>3.3</w:t>
            </w:r>
            <w:r>
              <w:rPr>
                <w:rFonts w:ascii="宋体" w:hAnsi="宋体" w:cs="宋体" w:eastAsia="宋体"/>
                <w:color w:val="000000"/>
                <w:sz w:val="21"/>
              </w:rPr>
              <w:t>本章3.2款未明确服务（产品）执行标准、规范的，按下列方法进行选择：</w:t>
            </w:r>
          </w:p>
          <w:p>
            <w:pPr>
              <w:pStyle w:val="null3"/>
              <w:ind w:firstLine="313"/>
            </w:pPr>
            <w:r>
              <w:rPr>
                <w:rFonts w:ascii="宋体" w:hAnsi="宋体" w:cs="宋体" w:eastAsia="宋体"/>
                <w:color w:val="000000"/>
                <w:sz w:val="21"/>
              </w:rPr>
              <w:t>□顺序执行：国家标准→行业标准→地方标准→团体标准→企业标准（有国家标准按国家标准执行，没有国家标准按行业标准，以此类推）；</w:t>
            </w:r>
          </w:p>
          <w:p>
            <w:pPr>
              <w:pStyle w:val="null3"/>
              <w:ind w:firstLine="313"/>
            </w:pPr>
            <w:r>
              <w:rPr>
                <w:rFonts w:ascii="宋体" w:hAnsi="宋体" w:cs="宋体" w:eastAsia="宋体"/>
                <w:color w:val="000000"/>
                <w:sz w:val="21"/>
              </w:rPr>
              <w:t>□最高标准执行：国家标准，行业标准，地方标准，团体标准，企业标准（哪个标准高执行哪个标准）；</w:t>
            </w:r>
          </w:p>
          <w:p>
            <w:pPr>
              <w:pStyle w:val="null3"/>
              <w:ind w:firstLine="420"/>
              <w:jc w:val="both"/>
            </w:pPr>
            <w:r>
              <w:rPr>
                <w:rFonts w:ascii="&quot;segoe ui symbol&quot;, &quot;sans-serif&quot;" w:hAnsi="&quot;segoe ui symbol&quot;, &quot;sans-serif&quot;" w:cs="&quot;segoe ui symbol&quot;, &quot;sans-serif&quot;" w:eastAsia="&quot;segoe ui symbol&quot;, &quot;sans-serif&quot;"/>
                <w:color w:val="000000"/>
                <w:sz w:val="21"/>
              </w:rPr>
              <w:t>☑</w:t>
            </w:r>
            <w:r>
              <w:rPr>
                <w:rFonts w:ascii="宋体" w:hAnsi="宋体" w:cs="宋体" w:eastAsia="宋体"/>
                <w:color w:val="000000"/>
                <w:sz w:val="21"/>
              </w:rPr>
              <w:t>必须执行：国家（行业）强制性标准。</w:t>
            </w:r>
          </w:p>
          <w:p>
            <w:pPr>
              <w:pStyle w:val="null3"/>
              <w:ind w:firstLine="420"/>
              <w:jc w:val="both"/>
            </w:pPr>
          </w:p>
        </w:tc>
      </w:tr>
    </w:tbl>
    <w:p>
      <w:pPr>
        <w:pStyle w:val="null3"/>
        <w:outlineLvl w:val="2"/>
      </w:pPr>
      <w:r>
        <w:rPr>
          <w:b/>
          <w:sz w:val="28"/>
        </w:rPr>
        <w:t>3.2.3人员配置要求</w:t>
      </w:r>
    </w:p>
    <w:p>
      <w:pPr>
        <w:pStyle w:val="null3"/>
      </w:pPr>
      <w:r>
        <w:rPr/>
        <w:t>采购包1：</w:t>
      </w:r>
    </w:p>
    <w:p>
      <w:pPr>
        <w:pStyle w:val="null3"/>
      </w:pPr>
      <w:r>
        <w:rPr/>
        <w:t>服务方按项目服务要求及特性，自行组织项目实施与管理，建立以项目负责人为核心的服务团队，实行项目负责人责任制，相关人员经过严格培训，工作经验丰富能够胜任项目工作，保证项目顺利实施。</w:t>
      </w:r>
    </w:p>
    <w:p>
      <w:pPr>
        <w:pStyle w:val="null3"/>
        <w:outlineLvl w:val="2"/>
      </w:pPr>
      <w:r>
        <w:rPr>
          <w:b/>
          <w:sz w:val="28"/>
        </w:rPr>
        <w:t>3.2.4设施设备要求</w:t>
      </w:r>
    </w:p>
    <w:p>
      <w:pPr>
        <w:pStyle w:val="null3"/>
      </w:pPr>
      <w:r>
        <w:rPr/>
        <w:t>采购包1：</w:t>
      </w:r>
    </w:p>
    <w:p>
      <w:pPr>
        <w:pStyle w:val="null3"/>
      </w:pPr>
      <w:r>
        <w:rPr/>
        <w:t>服务方根据项目特性，自行配置投入有利于完成本项目服务各类设施设备（包含但不限于专业设备、辅助设备、工具、软件等）。</w:t>
      </w:r>
    </w:p>
    <w:p>
      <w:pPr>
        <w:pStyle w:val="null3"/>
        <w:outlineLvl w:val="2"/>
      </w:pPr>
      <w:r>
        <w:rPr>
          <w:b/>
          <w:sz w:val="28"/>
        </w:rPr>
        <w:t>3.2.5其他要求</w:t>
      </w:r>
    </w:p>
    <w:p>
      <w:pPr>
        <w:pStyle w:val="null3"/>
      </w:pPr>
      <w:r>
        <w:rPr/>
        <w:t>采购包1：</w:t>
      </w:r>
    </w:p>
    <w:p>
      <w:pPr>
        <w:pStyle w:val="null3"/>
      </w:pPr>
      <w:r>
        <w:rPr/>
        <w:t>（1）服务方需根据实际情况编制服务方案，服务计划、服务进度安排、质量控制、应急措施等方案措施； （2）服务方在本项目中的负责人，要求技术水平高、组织能力强、有丰富的实践经验，懂管理、善于协调；其他团队人员有经验或持证上岗；项目团队稳定，服务方未经采购人同意，不得擅自更换本项目在响应文件中指定的负责人及其他团队人员。 （3）服务过程中，严格遵守各种管理规定及规章制度，做到安全文明；如发生工伤及意外事故由承包人单位负责； （4）服务方派遣的服务人员对于在工作中获悉的一切政府工作的信息应严格保守秘密，不得泄露；对于违反者，给采购人单位造成不良社会影响的，或给采购人单位造成损失的，由服务方承担赔偿责任； （5）严格按照国家、陕西省有关规定及采购人要求进行服务，不得随意更改或者变换服务内容，每项服务内容实施前应事先取得采购人的落实后方可实施。</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自合同签订生效之日起20日内提交成果文件</w:t>
      </w:r>
    </w:p>
    <w:p>
      <w:pPr>
        <w:pStyle w:val="null3"/>
        <w:outlineLvl w:val="3"/>
      </w:pPr>
      <w:r>
        <w:rPr>
          <w:b/>
          <w:sz w:val="24"/>
        </w:rPr>
        <w:t>3.3.2服务地点</w:t>
      </w:r>
    </w:p>
    <w:p>
      <w:pPr>
        <w:pStyle w:val="null3"/>
      </w:pPr>
      <w:r>
        <w:rPr/>
        <w:t>采购包1：</w:t>
      </w:r>
    </w:p>
    <w:p>
      <w:pPr>
        <w:pStyle w:val="null3"/>
      </w:pPr>
      <w:r>
        <w:rPr/>
        <w:t>按采购人指定地点</w:t>
      </w:r>
    </w:p>
    <w:p>
      <w:pPr>
        <w:pStyle w:val="null3"/>
        <w:outlineLvl w:val="3"/>
      </w:pPr>
      <w:r>
        <w:rPr>
          <w:b/>
          <w:sz w:val="24"/>
        </w:rPr>
        <w:t>3.3.3考核（验收）标准和方法</w:t>
      </w:r>
    </w:p>
    <w:p>
      <w:pPr>
        <w:pStyle w:val="null3"/>
      </w:pPr>
      <w:r>
        <w:rPr/>
        <w:t>采购包1：</w:t>
      </w:r>
    </w:p>
    <w:p>
      <w:pPr>
        <w:pStyle w:val="null3"/>
      </w:pPr>
      <w:r>
        <w:rPr/>
        <w:t>采购人单位根据有关规范规定，不定期对服务方的进行检查或考核，服务方须无条件的接受采购人的各类考核或检查；若审查不通过或质量不合格，服务方应在一定期限进行整改完善，以采购人要求的标准提供合格服务；若服务方在接受检查整改后，仍不能提供符合采购要求的合格服务，采购人有权按违约予以撤项。</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签订合同后，服务方提供的施工图设计成果经专家、采购人评审后，最终确认使用服务方的设计成果且财政资金具备支付条件后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工程竣工验收后且财政资金具备支付条件后</w:t>
      </w:r>
      <w:r>
        <w:rPr/>
        <w:t xml:space="preserve"> ，达到付款条件起 </w:t>
      </w:r>
      <w:r>
        <w:rPr/>
        <w:t>10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详见合同条款</w:t>
      </w:r>
    </w:p>
    <w:p>
      <w:pPr>
        <w:pStyle w:val="null3"/>
        <w:outlineLvl w:val="2"/>
      </w:pPr>
      <w:r>
        <w:rPr>
          <w:b/>
          <w:sz w:val="28"/>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人工费、设计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供应商需在项目电子化交易系统中按磋商文件中的附件“资格证明部分”格式要求上传相关证明资料并进行电子签章。</w:t>
            </w:r>
          </w:p>
        </w:tc>
        <w:tc>
          <w:tcPr>
            <w:tcW w:type="dxa" w:w="1661"/>
          </w:tcPr>
          <w:p>
            <w:pPr>
              <w:pStyle w:val="null3"/>
            </w:pPr>
            <w:r>
              <w:rPr/>
              <w:t>资格证明部分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3</w:t>
            </w:r>
          </w:p>
        </w:tc>
        <w:tc>
          <w:tcPr>
            <w:tcW w:type="dxa" w:w="249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332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1661"/>
          </w:tcPr>
          <w:p>
            <w:pPr>
              <w:pStyle w:val="null3"/>
            </w:pPr>
            <w:r>
              <w:rPr/>
              <w:t>资格证明部分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响应文件的 签署、盖章</w:t>
            </w:r>
          </w:p>
        </w:tc>
        <w:tc>
          <w:tcPr>
            <w:tcW w:type="dxa" w:w="3322"/>
          </w:tcPr>
          <w:p>
            <w:pPr>
              <w:pStyle w:val="null3"/>
            </w:pPr>
            <w:r>
              <w:rPr/>
              <w:t>符合磋商文件有关签署、盖章要求</w:t>
            </w:r>
          </w:p>
        </w:tc>
        <w:tc>
          <w:tcPr>
            <w:tcW w:type="dxa" w:w="1661"/>
          </w:tcPr>
          <w:p>
            <w:pPr>
              <w:pStyle w:val="null3"/>
            </w:pPr>
            <w:r>
              <w:rPr/>
              <w:t>响应文件封面 商务、技术部分 中小企业声明函 残疾人福利性单位声明函 资格证明部分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符合“响应文件格式”要求（不得因文件排序等非实质性的格式、形式问题限制和影响供应商响应)</w:t>
            </w:r>
          </w:p>
        </w:tc>
        <w:tc>
          <w:tcPr>
            <w:tcW w:type="dxa" w:w="1661"/>
          </w:tcPr>
          <w:p>
            <w:pPr>
              <w:pStyle w:val="null3"/>
            </w:pPr>
            <w:r>
              <w:rPr/>
              <w:t>响应文件封面 商务、技术部分 资格证明部分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响应文件封面 商务、技术部分 资格证明部分</w:t>
            </w:r>
          </w:p>
        </w:tc>
      </w:tr>
      <w:tr>
        <w:tc>
          <w:tcPr>
            <w:tcW w:type="dxa" w:w="831"/>
          </w:tcPr>
          <w:p>
            <w:pPr>
              <w:pStyle w:val="null3"/>
            </w:pPr>
            <w:r>
              <w:rPr/>
              <w:t>6</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商务、技术部分 资格证明部分</w:t>
            </w:r>
          </w:p>
        </w:tc>
      </w:tr>
      <w:tr>
        <w:tc>
          <w:tcPr>
            <w:tcW w:type="dxa" w:w="831"/>
          </w:tcPr>
          <w:p>
            <w:pPr>
              <w:pStyle w:val="null3"/>
            </w:pPr>
            <w:r>
              <w:rPr/>
              <w:t>7</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商务、技术部分 中小企业声明函 残疾人福利性单位声明函 资格证明部分 标的清单 报价表 响应函 监狱企业的证明文件</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应符合磋商文件中规定的期限</w:t>
            </w:r>
          </w:p>
        </w:tc>
        <w:tc>
          <w:tcPr>
            <w:tcW w:type="dxa" w:w="1661"/>
          </w:tcPr>
          <w:p>
            <w:pPr>
              <w:pStyle w:val="null3"/>
            </w:pPr>
            <w:r>
              <w:rPr/>
              <w:t>商务、技术部分 报价表</w:t>
            </w:r>
          </w:p>
        </w:tc>
      </w:tr>
      <w:tr>
        <w:tc>
          <w:tcPr>
            <w:tcW w:type="dxa" w:w="831"/>
          </w:tcPr>
          <w:p>
            <w:pPr>
              <w:pStyle w:val="null3"/>
            </w:pPr>
            <w:r>
              <w:rPr/>
              <w:t>9</w:t>
            </w:r>
          </w:p>
        </w:tc>
        <w:tc>
          <w:tcPr>
            <w:tcW w:type="dxa" w:w="2492"/>
          </w:tcPr>
          <w:p>
            <w:pPr>
              <w:pStyle w:val="null3"/>
            </w:pPr>
            <w:r>
              <w:rPr/>
              <w:t>对磋商文件响应程度</w:t>
            </w:r>
          </w:p>
        </w:tc>
        <w:tc>
          <w:tcPr>
            <w:tcW w:type="dxa" w:w="3322"/>
          </w:tcPr>
          <w:p>
            <w:pPr>
              <w:pStyle w:val="null3"/>
            </w:pPr>
            <w:r>
              <w:rPr/>
              <w:t>符合磋商文件实质性条款的要求</w:t>
            </w:r>
          </w:p>
        </w:tc>
        <w:tc>
          <w:tcPr>
            <w:tcW w:type="dxa" w:w="1661"/>
          </w:tcPr>
          <w:p>
            <w:pPr>
              <w:pStyle w:val="null3"/>
            </w:pPr>
            <w:r>
              <w:rPr/>
              <w:t>商务、技术部分</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1.设计思路:根据本项目工作范围、设计依据、设计要求等提出整体设计思路。</w:t>
            </w:r>
          </w:p>
        </w:tc>
        <w:tc>
          <w:tcPr>
            <w:tcW w:type="dxa" w:w="2492"/>
          </w:tcPr>
          <w:p>
            <w:pPr>
              <w:pStyle w:val="null3"/>
            </w:pPr>
            <w:r>
              <w:rPr/>
              <w:t>设计思路准确，表述清晰、严谨、合理的得8分； 设计思路准确性较好，表述较为清晰、严谨、合理性较好的得6分； 设计思路基本准确，表述基本清晰、基本严谨、合理的得4分； 设计思路不准确，表述不清晰、欠缺严谨、合理性的得2分； 未提供设计思路或设计思路脱离实际的不得分。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2.重点、难点分析:能正确识别本项目所有关键点，针对实施过程中的重点、难点有透彻正确的分析理解和相应解决措施。</w:t>
            </w:r>
          </w:p>
        </w:tc>
        <w:tc>
          <w:tcPr>
            <w:tcW w:type="dxa" w:w="2492"/>
          </w:tcPr>
          <w:p>
            <w:pPr>
              <w:pStyle w:val="null3"/>
            </w:pPr>
            <w:r>
              <w:rPr/>
              <w:t>重点、难点把握准确，分析透彻、描述详尽且与实际情况符合、有对应的解决方案且解决方案针对性强，科学合理可行、能有效提高服务效率的得8分； 重点、难点把握基本准确，分析较为透彻、描述较为详尽与实际情况基本符合、有对应的解决方案且解决方案针对性较强强，较为科学合理可行、能提高服务效率的得6分； 重点、难点分析基本透彻、描述基本详细且与实际情况符合、但只有部分问题有解决措施方案的得4分； 重点、难点分析不详细且与实际情况符合程度一般，发现问题简单、缺少解决措施方案或措施内容空泛的得2分； 未提供重点、难点分析或重点难点分析脱离实际的不得分。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3.设计方案:设计方案内容包含但不限于总体方案、管道方案、立管方案，用户设施设备方案等。</w:t>
            </w:r>
          </w:p>
        </w:tc>
        <w:tc>
          <w:tcPr>
            <w:tcW w:type="dxa" w:w="2492"/>
          </w:tcPr>
          <w:p>
            <w:pPr>
              <w:pStyle w:val="null3"/>
            </w:pPr>
            <w:r>
              <w:rPr/>
              <w:t>设计方案全面具体、合理可行、针对性强，能完全满足项目要求及符合相关标准要求的得10分。 设计方案较为全面具体、合理可行性较强、针对性较强，能较完全满足项目要求及相关标准要求的得8分。 设计方案基本全面，合理可行一般，基本能适用项目需求的得6分； 设计方案不全面，合理可行性低，不能完全适用项目需求的得3分； 未提供设计方案或设计方案不合理不可行的得0分。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4.造价控制措施</w:t>
            </w:r>
          </w:p>
        </w:tc>
        <w:tc>
          <w:tcPr>
            <w:tcW w:type="dxa" w:w="2492"/>
          </w:tcPr>
          <w:p>
            <w:pPr>
              <w:pStyle w:val="null3"/>
            </w:pPr>
            <w:r>
              <w:rPr/>
              <w:t>造价控制措施内容完整，描述详尽，针对性强、可行性高且有利于项目实施的得6分； 造价控制措施内容基本完整，描述基本详尽，针对性较好、可行性一般但有利于项目实施的的得4分； 内容描述不完整缺少关键点，针对性差、可行性低的得2分； 未提供设计阶段工程造价控制措施或设计阶段工程造价控制措施脱离实际的不得分。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5.实施方案:针对本项目有总体认识，熟悉城市燃气体系，有详细的实施方案，包括但不限于工作目标、工作方案、岗位职责制度与考核办法、工作秩序等。</w:t>
            </w:r>
          </w:p>
        </w:tc>
        <w:tc>
          <w:tcPr>
            <w:tcW w:type="dxa" w:w="2492"/>
          </w:tcPr>
          <w:p>
            <w:pPr>
              <w:pStyle w:val="null3"/>
            </w:pPr>
            <w:r>
              <w:rPr/>
              <w:t>实施方案全面具体、针对性强、思路清晰、质量标准明确、可操作及可行性强、能完全满足采购所需的得12分； 实施方案较为全面、针对性较好、思路清晰、质量标准较为明确、可操作及可行性较好、能满足采购所需的得10分； 实施方案基本全面、针对性一般、思路基本清晰、质量标准基本明确、缺少部分关键点、可操作及可行性一般、基本能满足采购所需的得8分。 实施方案简单、针对性差，质量标准低，可操作及可行性较差，不能满足基本采购所需的得4分。 未提供实施方案或实施方案完全脱离项目实际的不得分。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6.设计团队配置:针对拟投入本项目的人员（包含但不限于项目负责人、技术负责人、资料员等）配置合理、职责明确、分工清晰合理、有相应的工作经验等有详细的描述和相关（包括但不限于执业证、劳动合同、从业证明、资格证书等）证明。</w:t>
            </w:r>
          </w:p>
        </w:tc>
        <w:tc>
          <w:tcPr>
            <w:tcW w:type="dxa" w:w="2492"/>
          </w:tcPr>
          <w:p>
            <w:pPr>
              <w:pStyle w:val="null3"/>
            </w:pPr>
            <w:r>
              <w:rPr/>
              <w:t>团队配备合理、数量充足、职责明确、分工清晰、工作经历丰富、能够完全满足采购所需的得8分； 团队配备较为合理、数量充足、职责较为明确、分工较为清晰、工作经历较为丰富、但能满足采购所需的得6分； 团队配备基本合理、数量、职责、分工一般、缺少部分工作经历、勉强能满足基本采购所需的得4分； 团队配备不合理、数量无保证、职责、分工不明确、工作经历较少、不能够满足采购所需的得2分； 未提供人员配备方案或人员配备方案与项目实施无关的不得分。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7.进度计划安排:根据服务响应时效要求，制定详细可行的服务响应时效执行方案。</w:t>
            </w:r>
          </w:p>
        </w:tc>
        <w:tc>
          <w:tcPr>
            <w:tcW w:type="dxa" w:w="2492"/>
          </w:tcPr>
          <w:p>
            <w:pPr>
              <w:pStyle w:val="null3"/>
            </w:pPr>
            <w:r>
              <w:rPr/>
              <w:t>进度方案详细、层级明确清晰，响应时间满足采购要求、具体措施针对性强且科学可行的得8分； 进度方案较为详细、层级较为明确清晰，响应时间满足采购要求、具体措施有较强针对性且科学可行的得6分； 进度方案内容一般、层级基本明确清晰，响应时间满足采购要求、具体措施有针对性且有一定的可行性的得4分； 进度方案内容简单、层级不明确，响应时间满足采购要求、具体措施针对性差且可行性低的得2分； 未提供进度方案或进度方案脱离实际的不得分。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8.质量保障措施:针对服务质量有实质性方案措施或相关承诺，包括但不限于：控制措施、服务时间、服务质量、服务人员到位情况等。</w:t>
            </w:r>
          </w:p>
        </w:tc>
        <w:tc>
          <w:tcPr>
            <w:tcW w:type="dxa" w:w="2492"/>
          </w:tcPr>
          <w:p>
            <w:pPr>
              <w:pStyle w:val="null3"/>
            </w:pPr>
            <w:r>
              <w:rPr/>
              <w:t>质量保障措施目标明确、控制措施完善、质量标准高、质量承诺详细的得8分； 质量保障措施目标较为明确、控制措施较为完善、质量标准较高、质量承诺较为详细的得6分； 质量保障措施目标基本明确，控制措施基本完善、质量标准一般，质量承诺一般的得4分； 质量保障措施目标欠缺明确性，控制措施简单笼统，控制措施不完善、质量标准低、质量承诺不详细得2分； 未提供质量保障措施或质量保障措施脱离实际的不得分。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9.应急预案及措施:针对本项目有严格的保密、廉洁措施针对服务过程中可能出现的突发事件、人员调配等特殊或突发事件等有相应的应急预案及补救措施。</w:t>
            </w:r>
          </w:p>
        </w:tc>
        <w:tc>
          <w:tcPr>
            <w:tcW w:type="dxa" w:w="2492"/>
          </w:tcPr>
          <w:p>
            <w:pPr>
              <w:pStyle w:val="null3"/>
            </w:pPr>
            <w:r>
              <w:rPr/>
              <w:t>应急预案及措施全面详细，科学实用、合理性强、可操作性强且完全有利于本采购项目的得6分； 应急预案及措施较为全面详细，具有一定科学实用性、合理性较好、可操作性较强基本有利于本采购项目的得4分； 应急预案及措施完备性一般，方案合理性一般、可操作性低或需要优化后才能基本满足项目需要的得2分。 未提供应急预案及措施或应急预案及措施完全脱离项目实际的不得分。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10.后续服务:根据实际需求对后续服务、响应时间及方式、人员到位情况、问题处理等有详细的实质性方案措施或相关承诺。</w:t>
            </w:r>
          </w:p>
        </w:tc>
        <w:tc>
          <w:tcPr>
            <w:tcW w:type="dxa" w:w="2492"/>
          </w:tcPr>
          <w:p>
            <w:pPr>
              <w:pStyle w:val="null3"/>
            </w:pPr>
            <w:r>
              <w:rPr/>
              <w:t>后续服务全面合理、针对性强、响应迅速、可行性强的得6分 后续服务有部分阐述不明确、针对性较强、可行性较强的得4分； 后续服务有较多缺失或内容笼统、欠缺针对性和可行性的得2分。 未提供后续服务或后续服务完全脱离实际的不得分。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11.业绩</w:t>
            </w:r>
          </w:p>
        </w:tc>
        <w:tc>
          <w:tcPr>
            <w:tcW w:type="dxa" w:w="2492"/>
          </w:tcPr>
          <w:p>
            <w:pPr>
              <w:pStyle w:val="null3"/>
            </w:pPr>
            <w:r>
              <w:rPr/>
              <w:t>具有2021年1月1日起至今的类似项目业绩，业绩以合同扫描件（复印件）为依据；每提供1个业绩合同得2分，最多得10分。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按照财政部财库〔2014〕214号文件第二十四条和财库〔2020〕46号文件的规定，采用低价优先法计算，以本次满足磋商文件要求的最终最低评审价为磋商基准价，其磋商报价为满分。其他供应商的价格分，统一按照下列公式计算：磋商评审价=磋商最后报价×（1-磋商报价扣除幅度 ），磋商报价得分=(磋商基准价／磋商评审价)×10；（最低报价不是中标的唯一依据。因落实政府采购政策进行价格调整的，以调整后的价格计算评标基准价和响应报价。） （2）供应商报价扣除幅度如下：供应商提供的服务全部为小微企业提供的，给予磋商报价扣除10%优惠政策，只要有大中型企业提供服务情形的，就不得享受价格扣除优惠政策。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 小企业发展管理办法》（财库〔2020〕46号）规定的小微企业报价给予10%的扣除，用扣除后的价格参加评审。承接本项目的供应商符合相应条 件时，给予10%的价格扣除，即：磋商评审价=磋商最后报价×（1-10%）;监狱企业 与残疾人福利性单位视同小型、微型企业，享受同等价格扣除，当企业属性重复时，不重复价格扣除，只要有大中型企业提供服务的，就不得享受价格扣除优惠政策。</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w:t>
      </w:r>
    </w:p>
    <w:p>
      <w:pPr>
        <w:pStyle w:val="null3"/>
        <w:ind w:firstLine="960"/>
      </w:pPr>
      <w:r>
        <w:rPr/>
        <w:t>详见附件：资格证明部分</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