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rPr>
          <w:rFonts w:ascii="宋体" w:hAnsi="宋体" w:eastAsia="宋体" w:cs="宋体"/>
        </w:rPr>
      </w:pPr>
      <w:bookmarkStart w:id="0" w:name="_Toc2854"/>
      <w:r>
        <w:rPr>
          <w:rFonts w:hint="eastAsia" w:ascii="宋体" w:hAnsi="宋体" w:eastAsia="宋体" w:cs="宋体"/>
        </w:rPr>
        <w:t>拟签订的合同文本</w:t>
      </w:r>
      <w:bookmarkEnd w:id="0"/>
    </w:p>
    <w:p>
      <w:pPr>
        <w:ind w:firstLine="0" w:firstLineChars="0"/>
        <w:rPr>
          <w:rFonts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pPr>
        <w:ind w:firstLine="480"/>
        <w:rPr>
          <w:rFonts w:ascii="宋体" w:hAnsi="宋体" w:eastAsia="宋体" w:cs="宋体"/>
        </w:rPr>
      </w:pPr>
    </w:p>
    <w:p>
      <w:pPr>
        <w:ind w:firstLine="480"/>
        <w:rPr>
          <w:rFonts w:ascii="宋体" w:hAnsi="宋体" w:eastAsia="宋体" w:cs="宋体"/>
        </w:rPr>
      </w:pPr>
      <w:r>
        <w:rPr>
          <w:rFonts w:hint="eastAsia" w:ascii="宋体" w:hAnsi="宋体" w:eastAsia="宋体" w:cs="宋体"/>
        </w:rPr>
        <w:br w:type="page"/>
      </w:r>
    </w:p>
    <w:p>
      <w:pPr>
        <w:spacing w:line="240" w:lineRule="auto"/>
        <w:ind w:firstLine="0" w:firstLineChars="0"/>
        <w:jc w:val="left"/>
        <w:rPr>
          <w:rFonts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000000" w:sz="4" w:space="0"/>
          <w:lang w:bidi="en-US"/>
        </w:rPr>
        <w:t>竞争性谈判</w:t>
      </w:r>
    </w:p>
    <w:p>
      <w:pPr>
        <w:ind w:firstLine="482"/>
        <w:jc w:val="right"/>
        <w:rPr>
          <w:rFonts w:ascii="宋体" w:hAnsi="宋体" w:eastAsia="宋体" w:cs="宋体"/>
          <w:b/>
        </w:rPr>
      </w:pPr>
    </w:p>
    <w:p>
      <w:pPr>
        <w:keepNext/>
        <w:keepLines/>
        <w:spacing w:after="120" w:line="1133" w:lineRule="exact"/>
        <w:ind w:firstLine="0" w:firstLineChars="0"/>
        <w:outlineLvl w:val="0"/>
        <w:rPr>
          <w:rFonts w:ascii="宋体" w:hAnsi="宋体" w:eastAsia="宋体" w:cs="宋体"/>
          <w:b/>
          <w:bCs/>
          <w:sz w:val="52"/>
          <w:szCs w:val="52"/>
          <w:lang w:bidi="en-US"/>
        </w:rPr>
      </w:pPr>
      <w:bookmarkStart w:id="1" w:name="bookmark1"/>
      <w:bookmarkStart w:id="2" w:name="bookmark0"/>
      <w:bookmarkStart w:id="3" w:name="bookmark2"/>
    </w:p>
    <w:p>
      <w:pPr>
        <w:keepNext/>
        <w:keepLines/>
        <w:spacing w:after="120" w:line="1133" w:lineRule="exact"/>
        <w:ind w:firstLine="0" w:firstLineChars="0"/>
        <w:jc w:val="center"/>
        <w:outlineLvl w:val="0"/>
        <w:rPr>
          <w:rFonts w:ascii="宋体" w:hAnsi="宋体" w:eastAsia="宋体" w:cs="宋体"/>
          <w:b/>
          <w:bCs/>
          <w:sz w:val="52"/>
          <w:szCs w:val="52"/>
          <w:lang w:bidi="en-US"/>
        </w:rPr>
      </w:pPr>
      <w:r>
        <w:rPr>
          <w:rFonts w:hint="eastAsia" w:ascii="宋体" w:hAnsi="宋体" w:eastAsia="宋体" w:cs="宋体"/>
          <w:b/>
          <w:bCs/>
          <w:sz w:val="52"/>
          <w:szCs w:val="52"/>
          <w:lang w:bidi="en-US"/>
        </w:rPr>
        <w:t xml:space="preserve"> 学生安全体验教室项目</w:t>
      </w:r>
      <w:r>
        <w:rPr>
          <w:rFonts w:hint="eastAsia" w:ascii="宋体" w:hAnsi="宋体" w:eastAsia="宋体" w:cs="宋体"/>
          <w:b/>
          <w:bCs/>
          <w:sz w:val="52"/>
          <w:szCs w:val="52"/>
          <w:lang w:val="zh-TW" w:eastAsia="zh-TW" w:bidi="zh-TW"/>
        </w:rPr>
        <w:t>供货合同</w:t>
      </w:r>
      <w:bookmarkEnd w:id="1"/>
      <w:bookmarkEnd w:id="2"/>
      <w:bookmarkEnd w:id="3"/>
    </w:p>
    <w:p>
      <w:pPr>
        <w:spacing w:after="120" w:line="240" w:lineRule="auto"/>
        <w:ind w:firstLine="2700" w:firstLineChars="900"/>
        <w:rPr>
          <w:rFonts w:ascii="宋体" w:hAnsi="宋体" w:eastAsia="宋体" w:cs="宋体"/>
          <w:sz w:val="30"/>
          <w:szCs w:val="30"/>
          <w:lang w:eastAsia="zh-TW" w:bidi="zh-TW"/>
        </w:rPr>
      </w:pPr>
    </w:p>
    <w:p>
      <w:pPr>
        <w:spacing w:after="120" w:line="240" w:lineRule="auto"/>
        <w:ind w:firstLine="2700" w:firstLineChars="900"/>
        <w:rPr>
          <w:rFonts w:ascii="宋体" w:hAnsi="宋体" w:eastAsia="宋体" w:cs="宋体"/>
          <w:sz w:val="30"/>
          <w:szCs w:val="30"/>
          <w:lang w:bidi="en-US"/>
        </w:rPr>
      </w:pPr>
      <w:r>
        <w:rPr>
          <w:rFonts w:hint="eastAsia" w:ascii="宋体" w:hAnsi="宋体" w:eastAsia="宋体" w:cs="宋体"/>
          <w:sz w:val="30"/>
          <w:szCs w:val="30"/>
          <w:lang w:val="zh-TW" w:eastAsia="zh-TW" w:bidi="zh-TW"/>
        </w:rPr>
        <w:t>（编号：</w:t>
      </w:r>
      <w:r>
        <w:rPr>
          <w:rFonts w:hint="eastAsia" w:ascii="宋体" w:hAnsi="宋体" w:eastAsia="宋体" w:cs="宋体"/>
          <w:sz w:val="30"/>
          <w:szCs w:val="30"/>
          <w:u w:val="single"/>
          <w:lang w:bidi="en-US"/>
        </w:rPr>
        <w:t>LZBE2024-812</w:t>
      </w:r>
      <w:r>
        <w:rPr>
          <w:rFonts w:hint="eastAsia" w:ascii="宋体" w:hAnsi="宋体" w:eastAsia="宋体" w:cs="宋体"/>
          <w:sz w:val="30"/>
          <w:szCs w:val="30"/>
          <w:lang w:bidi="en-US"/>
        </w:rPr>
        <w:t>）</w:t>
      </w:r>
    </w:p>
    <w:p>
      <w:pPr>
        <w:spacing w:line="499" w:lineRule="exact"/>
        <w:ind w:firstLine="600"/>
        <w:rPr>
          <w:rFonts w:ascii="宋体" w:hAnsi="宋体" w:eastAsia="宋体" w:cs="宋体"/>
          <w:sz w:val="30"/>
          <w:szCs w:val="30"/>
          <w:lang w:val="zh-TW" w:eastAsia="zh-TW" w:bidi="zh-TW"/>
        </w:rPr>
      </w:pPr>
    </w:p>
    <w:p>
      <w:pPr>
        <w:spacing w:line="499" w:lineRule="exact"/>
        <w:ind w:firstLine="0" w:firstLineChars="0"/>
        <w:rPr>
          <w:rFonts w:ascii="宋体" w:hAnsi="宋体" w:eastAsia="宋体" w:cs="宋体"/>
          <w:sz w:val="30"/>
          <w:szCs w:val="30"/>
          <w:lang w:val="zh-TW" w:eastAsia="zh-TW" w:bidi="zh-TW"/>
        </w:rPr>
      </w:pPr>
    </w:p>
    <w:p>
      <w:pPr>
        <w:spacing w:line="499" w:lineRule="exact"/>
        <w:ind w:firstLine="600"/>
        <w:rPr>
          <w:rFonts w:ascii="宋体" w:hAnsi="宋体" w:eastAsia="宋体" w:cs="宋体"/>
          <w:sz w:val="30"/>
          <w:szCs w:val="30"/>
          <w:lang w:val="zh-TW" w:eastAsia="zh-TW" w:bidi="zh-TW"/>
        </w:rPr>
      </w:pPr>
    </w:p>
    <w:p>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甲方：</w:t>
      </w:r>
    </w:p>
    <w:p>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pPr>
        <w:spacing w:after="660" w:line="499" w:lineRule="exact"/>
        <w:ind w:left="3294" w:leftChars="700" w:hanging="1614" w:hangingChars="538"/>
        <w:jc w:val="left"/>
        <w:rPr>
          <w:rFonts w:ascii="宋体" w:hAnsi="宋体" w:eastAsia="宋体" w:cs="宋体"/>
          <w:sz w:val="30"/>
          <w:szCs w:val="30"/>
          <w:lang w:bidi="en-US"/>
        </w:rPr>
      </w:pPr>
      <w:r>
        <w:rPr>
          <w:rFonts w:hint="eastAsia" w:ascii="宋体" w:hAnsi="宋体" w:eastAsia="宋体" w:cs="宋体"/>
          <w:sz w:val="30"/>
          <w:szCs w:val="30"/>
          <w:lang w:val="zh-TW" w:eastAsia="zh-TW" w:bidi="zh-TW"/>
        </w:rPr>
        <w:t>见证方：龙寰项目管理咨询有限公司</w:t>
      </w:r>
    </w:p>
    <w:p>
      <w:pPr>
        <w:spacing w:line="348" w:lineRule="auto"/>
        <w:ind w:firstLine="600"/>
        <w:jc w:val="center"/>
        <w:rPr>
          <w:rFonts w:ascii="宋体" w:hAnsi="宋体" w:eastAsia="宋体" w:cs="宋体"/>
          <w:sz w:val="30"/>
          <w:szCs w:val="30"/>
          <w:lang w:bidi="en-US"/>
        </w:rPr>
      </w:pPr>
      <w:r>
        <w:rPr>
          <w:rFonts w:hint="eastAsia" w:ascii="宋体" w:hAnsi="宋体" w:eastAsia="宋体" w:cs="宋体"/>
          <w:sz w:val="30"/>
          <w:szCs w:val="30"/>
          <w:lang w:bidi="en-US"/>
        </w:rPr>
        <w:t>2024</w:t>
      </w:r>
      <w:r>
        <w:rPr>
          <w:rFonts w:hint="eastAsia" w:ascii="宋体" w:hAnsi="宋体" w:eastAsia="宋体" w:cs="宋体"/>
          <w:sz w:val="30"/>
          <w:szCs w:val="30"/>
          <w:lang w:val="zh-TW" w:eastAsia="zh-TW" w:bidi="zh-TW"/>
        </w:rPr>
        <w:t>年</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月</w:t>
      </w:r>
    </w:p>
    <w:p>
      <w:pPr>
        <w:spacing w:line="499" w:lineRule="exact"/>
        <w:ind w:firstLine="600"/>
        <w:jc w:val="center"/>
        <w:rPr>
          <w:rFonts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中国西安</w:t>
      </w:r>
    </w:p>
    <w:p>
      <w:pPr>
        <w:spacing w:line="240" w:lineRule="auto"/>
        <w:ind w:firstLine="0" w:firstLineChars="0"/>
        <w:jc w:val="left"/>
        <w:rPr>
          <w:rFonts w:ascii="宋体" w:hAnsi="宋体" w:eastAsia="宋体" w:cs="宋体"/>
          <w:kern w:val="0"/>
          <w:lang w:bidi="en-US"/>
        </w:rPr>
      </w:pPr>
      <w:bookmarkStart w:id="4" w:name="bookmark4"/>
      <w:bookmarkStart w:id="5" w:name="bookmark5"/>
      <w:bookmarkStart w:id="6" w:name="bookmark3"/>
      <w:r>
        <w:rPr>
          <w:rFonts w:hint="eastAsia" w:ascii="宋体" w:hAnsi="宋体" w:eastAsia="宋体" w:cs="宋体"/>
          <w:kern w:val="0"/>
          <w:lang w:bidi="en-US"/>
        </w:rPr>
        <w:br w:type="page"/>
      </w:r>
    </w:p>
    <w:p>
      <w:pPr>
        <w:keepNext/>
        <w:keepLines/>
        <w:spacing w:after="380" w:line="240" w:lineRule="auto"/>
        <w:ind w:firstLine="720"/>
        <w:jc w:val="center"/>
        <w:outlineLvl w:val="1"/>
        <w:rPr>
          <w:rFonts w:ascii="宋体" w:hAnsi="宋体" w:eastAsia="宋体" w:cs="宋体"/>
          <w:sz w:val="36"/>
          <w:szCs w:val="36"/>
          <w:lang w:val="zh-TW" w:eastAsia="zh-TW" w:bidi="zh-TW"/>
        </w:rPr>
      </w:pPr>
      <w:r>
        <w:rPr>
          <w:rFonts w:hint="eastAsia" w:ascii="宋体" w:hAnsi="宋体" w:eastAsia="宋体" w:cs="宋体"/>
          <w:sz w:val="36"/>
          <w:szCs w:val="36"/>
          <w:lang w:val="zh-TW" w:eastAsia="zh-TW" w:bidi="zh-TW"/>
        </w:rPr>
        <w:t>供货合同</w:t>
      </w:r>
      <w:bookmarkEnd w:id="4"/>
      <w:bookmarkEnd w:id="5"/>
      <w:bookmarkEnd w:id="6"/>
    </w:p>
    <w:p>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甲方</w:t>
      </w:r>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bidi="zh-TW"/>
        </w:rPr>
        <w:t>采</w:t>
      </w:r>
      <w:r>
        <w:rPr>
          <w:rFonts w:hint="eastAsia" w:cs="宋体" w:asciiTheme="minorEastAsia" w:hAnsiTheme="minorEastAsia" w:eastAsiaTheme="minorEastAsia"/>
          <w:b/>
          <w:bCs/>
          <w:sz w:val="21"/>
          <w:szCs w:val="21"/>
          <w:lang w:val="zh-TW" w:eastAsia="zh-TW" w:bidi="zh-TW"/>
        </w:rPr>
        <w:t>购人名称全称）</w:t>
      </w:r>
      <w:r>
        <w:rPr>
          <w:rFonts w:hint="eastAsia" w:cs="宋体" w:asciiTheme="minorEastAsia" w:hAnsiTheme="minorEastAsia" w:eastAsiaTheme="minorEastAsia"/>
          <w:sz w:val="21"/>
          <w:szCs w:val="21"/>
          <w:lang w:val="zh-TW" w:eastAsia="zh-TW" w:bidi="zh-TW"/>
        </w:rPr>
        <w:t>：</w:t>
      </w:r>
    </w:p>
    <w:p>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b/>
          <w:bCs/>
          <w:sz w:val="21"/>
          <w:szCs w:val="21"/>
          <w:lang w:val="zh-TW" w:eastAsia="zh-TW" w:bidi="zh-TW"/>
        </w:rPr>
        <w:t>（供应商名称全称）</w:t>
      </w:r>
      <w:r>
        <w:rPr>
          <w:rFonts w:hint="eastAsia" w:cs="宋体" w:asciiTheme="minorEastAsia" w:hAnsiTheme="minorEastAsia" w:eastAsiaTheme="minorEastAsia"/>
          <w:sz w:val="21"/>
          <w:szCs w:val="21"/>
          <w:lang w:val="zh-TW" w:eastAsia="zh-TW" w:bidi="zh-TW"/>
        </w:rPr>
        <w:t>：</w:t>
      </w:r>
    </w:p>
    <w:p>
      <w:pPr>
        <w:wordWrap w:val="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w:t>
      </w:r>
      <w:r>
        <w:rPr>
          <w:rFonts w:hint="eastAsia" w:cs="宋体" w:asciiTheme="minorEastAsia" w:hAnsiTheme="minorEastAsia" w:eastAsiaTheme="minorEastAsia"/>
          <w:sz w:val="21"/>
          <w:szCs w:val="21"/>
          <w:lang w:val="zh-TW" w:bidi="zh-TW"/>
        </w:rPr>
        <w:t>龙寰项目管理咨询有限公司</w:t>
      </w:r>
    </w:p>
    <w:p>
      <w:pPr>
        <w:wordWrap w:val="0"/>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见证方就甲方所需货物，在西安市雁塔区财政局的监督管理下，按照政府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购程序组织竞争性谈判，确定乙方为</w:t>
      </w:r>
      <w:r>
        <w:rPr>
          <w:rFonts w:hint="eastAsia" w:cs="宋体" w:asciiTheme="minorEastAsia" w:hAnsiTheme="minorEastAsia" w:eastAsiaTheme="minorEastAsia"/>
          <w:sz w:val="21"/>
          <w:szCs w:val="21"/>
          <w:u w:val="single"/>
          <w:lang w:val="zh-TW" w:bidi="zh-TW"/>
        </w:rPr>
        <w:t xml:space="preserve"> 学生安全体验教室项目</w:t>
      </w:r>
      <w:r>
        <w:rPr>
          <w:rFonts w:hint="eastAsia" w:cs="宋体" w:asciiTheme="minorEastAsia" w:hAnsiTheme="minorEastAsia" w:eastAsiaTheme="minorEastAsia"/>
          <w:sz w:val="21"/>
          <w:szCs w:val="21"/>
          <w:lang w:val="zh-TW" w:eastAsia="zh-TW" w:bidi="zh-TW"/>
        </w:rPr>
        <w:t>（项目编号：</w:t>
      </w:r>
      <w:r>
        <w:rPr>
          <w:rFonts w:hint="eastAsia" w:cs="宋体" w:asciiTheme="minorEastAsia" w:hAnsiTheme="minorEastAsia" w:eastAsiaTheme="minorEastAsia"/>
          <w:sz w:val="21"/>
          <w:szCs w:val="21"/>
          <w:u w:val="single"/>
          <w:lang w:bidi="zh-TW"/>
        </w:rPr>
        <w:t>LZBE2024-812</w:t>
      </w:r>
      <w:r>
        <w:rPr>
          <w:rFonts w:hint="eastAsia" w:cs="宋体" w:asciiTheme="minorEastAsia" w:hAnsiTheme="minorEastAsia" w:eastAsiaTheme="minorEastAsia"/>
          <w:sz w:val="21"/>
          <w:szCs w:val="21"/>
          <w:lang w:bidi="en-US"/>
        </w:rPr>
        <w:t>）</w:t>
      </w:r>
      <w:r>
        <w:rPr>
          <w:rFonts w:hint="eastAsia" w:cs="宋体" w:asciiTheme="minorEastAsia" w:hAnsiTheme="minorEastAsia" w:eastAsiaTheme="minorEastAsia"/>
          <w:sz w:val="21"/>
          <w:szCs w:val="21"/>
          <w:lang w:val="zh-TW" w:eastAsia="zh-TW" w:bidi="zh-TW"/>
        </w:rPr>
        <w:t>成交供应商。</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据《中华人民共和国政府采购法》、《中华人民共和国民法典》以及</w:t>
      </w:r>
      <w:r>
        <w:rPr>
          <w:rFonts w:hint="eastAsia" w:cs="宋体" w:asciiTheme="minorEastAsia" w:hAnsiTheme="minorEastAsia" w:eastAsiaTheme="minorEastAsia"/>
          <w:sz w:val="21"/>
          <w:szCs w:val="21"/>
          <w:lang w:bidi="zh-TW"/>
        </w:rPr>
        <w:t>龙寰项目管理咨询有限公司</w:t>
      </w:r>
      <w:r>
        <w:rPr>
          <w:rFonts w:hint="eastAsia" w:cs="宋体" w:asciiTheme="minorEastAsia" w:hAnsiTheme="minorEastAsia" w:eastAsiaTheme="minorEastAsia"/>
          <w:sz w:val="21"/>
          <w:szCs w:val="21"/>
          <w:lang w:val="zh-TW" w:eastAsia="zh-TW" w:bidi="zh-TW"/>
        </w:rPr>
        <w:t>竞争性谈判文件、成交通知书，经甲、乙双方协商，见证方确认，达成如下合同条款。</w:t>
      </w:r>
    </w:p>
    <w:p>
      <w:pPr>
        <w:spacing w:after="100"/>
        <w:ind w:firstLine="422"/>
        <w:jc w:val="left"/>
        <w:rPr>
          <w:rFonts w:cs="宋体" w:asciiTheme="minorEastAsia" w:hAnsiTheme="minorEastAsia" w:eastAsiaTheme="minorEastAsia"/>
          <w:b/>
          <w:bCs/>
          <w:sz w:val="21"/>
          <w:szCs w:val="21"/>
          <w:lang w:val="zh-TW" w:eastAsia="zh-TW" w:bidi="zh-TW"/>
        </w:rPr>
      </w:pPr>
      <w:bookmarkStart w:id="7" w:name="bookmark6"/>
      <w:r>
        <w:rPr>
          <w:rFonts w:hint="eastAsia" w:cs="宋体" w:asciiTheme="minorEastAsia" w:hAnsiTheme="minorEastAsia" w:eastAsiaTheme="minorEastAsia"/>
          <w:b/>
          <w:bCs/>
          <w:sz w:val="21"/>
          <w:szCs w:val="21"/>
          <w:lang w:val="zh-TW" w:eastAsia="zh-TW" w:bidi="zh-TW"/>
        </w:rPr>
        <w:t>一</w:t>
      </w:r>
      <w:bookmarkEnd w:id="7"/>
      <w:r>
        <w:rPr>
          <w:rFonts w:hint="eastAsia" w:cs="宋体" w:asciiTheme="minorEastAsia" w:hAnsiTheme="minorEastAsia" w:eastAsiaTheme="minorEastAsia"/>
          <w:b/>
          <w:bCs/>
          <w:sz w:val="21"/>
          <w:szCs w:val="21"/>
          <w:lang w:val="zh-TW" w:eastAsia="zh-TW" w:bidi="zh-TW"/>
        </w:rPr>
        <w:t>、合同标的物内容（以响应文件正本和澄清表〈函〉为准）</w:t>
      </w:r>
    </w:p>
    <w:tbl>
      <w:tblPr>
        <w:tblStyle w:val="7"/>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tblPrEx>
          <w:tblCellMar>
            <w:top w:w="0" w:type="dxa"/>
            <w:left w:w="10" w:type="dxa"/>
            <w:bottom w:w="0" w:type="dxa"/>
            <w:right w:w="10" w:type="dxa"/>
          </w:tblCellMar>
        </w:tblPrEx>
        <w:trPr>
          <w:trHeight w:val="528" w:hRule="exact"/>
          <w:jc w:val="center"/>
        </w:trPr>
        <w:tc>
          <w:tcPr>
            <w:tcW w:w="768" w:type="dxa"/>
            <w:tcBorders>
              <w:top w:val="single" w:color="auto" w:sz="4" w:space="0"/>
              <w:left w:val="single" w:color="auto" w:sz="4" w:space="0"/>
            </w:tcBorders>
            <w:shd w:val="clear" w:color="auto" w:fill="FFFFFF"/>
          </w:tcPr>
          <w:p>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序号</w:t>
            </w:r>
          </w:p>
        </w:tc>
        <w:tc>
          <w:tcPr>
            <w:tcW w:w="1661" w:type="dxa"/>
            <w:tcBorders>
              <w:top w:val="single" w:color="auto" w:sz="4" w:space="0"/>
              <w:left w:val="single" w:color="auto" w:sz="4" w:space="0"/>
            </w:tcBorders>
            <w:shd w:val="clear" w:color="auto" w:fill="FFFFFF"/>
          </w:tcPr>
          <w:p>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货物名称</w:t>
            </w:r>
          </w:p>
        </w:tc>
        <w:tc>
          <w:tcPr>
            <w:tcW w:w="1661" w:type="dxa"/>
            <w:tcBorders>
              <w:top w:val="single" w:color="auto" w:sz="4" w:space="0"/>
              <w:left w:val="single" w:color="auto" w:sz="4" w:space="0"/>
            </w:tcBorders>
            <w:shd w:val="clear" w:color="auto" w:fill="FFFFFF"/>
          </w:tcPr>
          <w:p>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规格型号</w:t>
            </w:r>
          </w:p>
        </w:tc>
        <w:tc>
          <w:tcPr>
            <w:tcW w:w="1661" w:type="dxa"/>
            <w:tcBorders>
              <w:top w:val="single" w:color="auto" w:sz="4" w:space="0"/>
              <w:left w:val="single" w:color="auto" w:sz="4" w:space="0"/>
            </w:tcBorders>
            <w:shd w:val="clear" w:color="auto" w:fill="FFFFFF"/>
          </w:tcPr>
          <w:p>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单价（元）</w:t>
            </w:r>
          </w:p>
        </w:tc>
        <w:tc>
          <w:tcPr>
            <w:tcW w:w="1661" w:type="dxa"/>
            <w:tcBorders>
              <w:top w:val="single" w:color="auto" w:sz="4" w:space="0"/>
              <w:left w:val="single" w:color="auto" w:sz="4" w:space="0"/>
            </w:tcBorders>
            <w:shd w:val="clear" w:color="auto" w:fill="FFFFFF"/>
          </w:tcPr>
          <w:p>
            <w:pPr>
              <w:spacing w:before="14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数量</w:t>
            </w:r>
          </w:p>
        </w:tc>
        <w:tc>
          <w:tcPr>
            <w:tcW w:w="1690" w:type="dxa"/>
            <w:tcBorders>
              <w:top w:val="single" w:color="auto" w:sz="4" w:space="0"/>
              <w:left w:val="single" w:color="auto" w:sz="4" w:space="0"/>
              <w:right w:val="single" w:color="auto" w:sz="4" w:space="0"/>
            </w:tcBorders>
            <w:shd w:val="clear" w:color="auto" w:fill="FFFFFF"/>
          </w:tcPr>
          <w:p>
            <w:pPr>
              <w:spacing w:before="140"/>
              <w:ind w:right="320" w:firstLine="0" w:firstLineChars="0"/>
              <w:jc w:val="righ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总价（元）</w:t>
            </w:r>
          </w:p>
        </w:tc>
      </w:tr>
      <w:tr>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1</w:t>
            </w: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w:t>
            </w: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w:t>
            </w: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4</w:t>
            </w: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5</w:t>
            </w: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w:t>
            </w: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ind w:firstLine="0" w:firstLineChars="0"/>
              <w:jc w:val="left"/>
              <w:rPr>
                <w:rFonts w:cs="宋体" w:asciiTheme="minorEastAsia" w:hAnsiTheme="minorEastAsia" w:eastAsiaTheme="minorEastAsia"/>
                <w:sz w:val="21"/>
                <w:szCs w:val="21"/>
                <w:lang w:val="zh-TW" w:eastAsia="zh-TW" w:bidi="zh-TW"/>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tcPr>
          <w:p>
            <w:pPr>
              <w:spacing w:before="10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r>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tcPr>
          <w:p>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tcPr>
          <w:p>
            <w:pPr>
              <w:ind w:firstLine="0" w:firstLineChars="0"/>
              <w:jc w:val="left"/>
              <w:rPr>
                <w:rFonts w:cs="宋体" w:asciiTheme="minorEastAsia" w:hAnsiTheme="minorEastAsia" w:eastAsiaTheme="minorEastAsia"/>
                <w:kern w:val="0"/>
                <w:sz w:val="21"/>
                <w:szCs w:val="21"/>
                <w:lang w:eastAsia="en-US" w:bidi="en-US"/>
              </w:rPr>
            </w:pPr>
          </w:p>
        </w:tc>
      </w:tr>
    </w:tbl>
    <w:p>
      <w:pPr>
        <w:ind w:firstLine="422"/>
        <w:jc w:val="left"/>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（技术</w:t>
      </w:r>
      <w:r>
        <w:rPr>
          <w:rFonts w:hint="eastAsia" w:cs="宋体" w:asciiTheme="minorEastAsia" w:hAnsiTheme="minorEastAsia" w:eastAsiaTheme="minorEastAsia"/>
          <w:b/>
          <w:bCs/>
          <w:sz w:val="21"/>
          <w:szCs w:val="21"/>
          <w:lang w:bidi="zh-TW"/>
        </w:rPr>
        <w:t>参数可附附件</w:t>
      </w:r>
      <w:r>
        <w:rPr>
          <w:rFonts w:hint="eastAsia" w:cs="宋体" w:asciiTheme="minorEastAsia" w:hAnsiTheme="minorEastAsia" w:eastAsiaTheme="minorEastAsia"/>
          <w:b/>
          <w:bCs/>
          <w:sz w:val="21"/>
          <w:szCs w:val="21"/>
          <w:lang w:val="zh-TW" w:eastAsia="zh-TW" w:bidi="zh-TW"/>
        </w:rPr>
        <w:t>或详见响应文件，需说明清楚，表格可根据实际情况调整）</w:t>
      </w:r>
    </w:p>
    <w:p>
      <w:pPr>
        <w:ind w:firstLine="422"/>
        <w:jc w:val="left"/>
        <w:rPr>
          <w:rFonts w:cs="宋体" w:asciiTheme="minorEastAsia" w:hAnsiTheme="minorEastAsia" w:eastAsiaTheme="minorEastAsia"/>
          <w:b/>
          <w:bCs/>
          <w:sz w:val="21"/>
          <w:szCs w:val="21"/>
          <w:lang w:val="zh-TW" w:bidi="zh-TW"/>
        </w:rPr>
      </w:pPr>
      <w:bookmarkStart w:id="8" w:name="bookmark7"/>
      <w:r>
        <w:rPr>
          <w:rFonts w:hint="eastAsia" w:cs="宋体" w:asciiTheme="minorEastAsia" w:hAnsiTheme="minorEastAsia" w:eastAsiaTheme="minorEastAsia"/>
          <w:b/>
          <w:bCs/>
          <w:sz w:val="21"/>
          <w:szCs w:val="21"/>
          <w:lang w:val="zh-TW" w:eastAsia="zh-TW" w:bidi="zh-TW"/>
        </w:rPr>
        <w:t>二</w:t>
      </w:r>
      <w:bookmarkEnd w:id="8"/>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交货条件：</w:t>
      </w:r>
    </w:p>
    <w:p>
      <w:pPr>
        <w:tabs>
          <w:tab w:val="left" w:pos="1418"/>
        </w:tabs>
        <w:ind w:left="240" w:leftChars="100" w:firstLine="420"/>
        <w:rPr>
          <w:rFonts w:cs="宋体" w:asciiTheme="minorEastAsia" w:hAnsiTheme="minorEastAsia" w:eastAsiaTheme="minorEastAsia"/>
          <w:sz w:val="21"/>
          <w:szCs w:val="21"/>
          <w:lang w:val="zh-TW" w:eastAsia="zh-TW" w:bidi="zh-TW"/>
        </w:rPr>
      </w:pPr>
      <w:bookmarkStart w:id="9" w:name="bookmark8"/>
      <w:r>
        <w:rPr>
          <w:rFonts w:hint="eastAsia" w:cs="宋体" w:asciiTheme="minorEastAsia" w:hAnsiTheme="minorEastAsia" w:eastAsiaTheme="minorEastAsia"/>
          <w:sz w:val="21"/>
          <w:szCs w:val="21"/>
          <w:lang w:val="zh-TW" w:eastAsia="zh-TW" w:bidi="zh-TW"/>
        </w:rPr>
        <w:t>（</w:t>
      </w:r>
      <w:bookmarkEnd w:id="9"/>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bidi="zh-TW"/>
        </w:rPr>
        <w:t>交货</w:t>
      </w:r>
      <w:r>
        <w:rPr>
          <w:rFonts w:hint="eastAsia" w:cs="宋体" w:asciiTheme="minorEastAsia" w:hAnsiTheme="minorEastAsia" w:eastAsiaTheme="minorEastAsia"/>
          <w:sz w:val="21"/>
          <w:szCs w:val="21"/>
          <w:lang w:val="zh-TW" w:eastAsia="zh-TW" w:bidi="zh-TW"/>
        </w:rPr>
        <w:t>地点：甲方指定地点。</w:t>
      </w:r>
    </w:p>
    <w:p>
      <w:pPr>
        <w:tabs>
          <w:tab w:val="left" w:pos="1390"/>
        </w:tabs>
        <w:ind w:left="240" w:leftChars="100" w:firstLine="420"/>
        <w:rPr>
          <w:rFonts w:cs="宋体" w:asciiTheme="minorEastAsia" w:hAnsiTheme="minorEastAsia" w:eastAsiaTheme="minorEastAsia"/>
          <w:sz w:val="21"/>
          <w:szCs w:val="21"/>
          <w:lang w:val="zh-TW" w:eastAsia="zh-TW" w:bidi="zh-TW"/>
        </w:rPr>
      </w:pPr>
      <w:bookmarkStart w:id="10" w:name="bookmark9"/>
      <w:r>
        <w:rPr>
          <w:rFonts w:hint="eastAsia" w:cs="宋体" w:asciiTheme="minorEastAsia" w:hAnsiTheme="minorEastAsia" w:eastAsiaTheme="minorEastAsia"/>
          <w:sz w:val="21"/>
          <w:szCs w:val="21"/>
          <w:lang w:val="zh-TW" w:eastAsia="zh-TW" w:bidi="zh-TW"/>
        </w:rPr>
        <w:t>（</w:t>
      </w:r>
      <w:bookmarkEnd w:id="10"/>
      <w:r>
        <w:rPr>
          <w:rFonts w:hint="eastAsia" w:cs="宋体" w:asciiTheme="minorEastAsia" w:hAnsiTheme="minorEastAsia" w:eastAsiaTheme="minorEastAsia"/>
          <w:sz w:val="21"/>
          <w:szCs w:val="21"/>
          <w:lang w:val="zh-TW" w:eastAsia="zh-TW" w:bidi="zh-TW"/>
        </w:rPr>
        <w:t>二）交货期：</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w:t>
      </w:r>
    </w:p>
    <w:p>
      <w:pPr>
        <w:tabs>
          <w:tab w:val="left" w:pos="986"/>
        </w:tabs>
        <w:ind w:firstLine="422"/>
        <w:rPr>
          <w:rFonts w:cs="宋体" w:asciiTheme="minorEastAsia" w:hAnsiTheme="minorEastAsia" w:eastAsiaTheme="minorEastAsia"/>
          <w:b/>
          <w:bCs/>
          <w:sz w:val="21"/>
          <w:szCs w:val="21"/>
          <w:lang w:val="zh-TW" w:eastAsia="zh-TW" w:bidi="zh-TW"/>
        </w:rPr>
      </w:pPr>
      <w:bookmarkStart w:id="11" w:name="bookmark10"/>
      <w:r>
        <w:rPr>
          <w:rFonts w:hint="eastAsia" w:cs="宋体" w:asciiTheme="minorEastAsia" w:hAnsiTheme="minorEastAsia" w:eastAsiaTheme="minorEastAsia"/>
          <w:b/>
          <w:bCs/>
          <w:sz w:val="21"/>
          <w:szCs w:val="21"/>
          <w:lang w:val="zh-TW" w:eastAsia="zh-TW" w:bidi="zh-TW"/>
        </w:rPr>
        <w:t>三</w:t>
      </w:r>
      <w:bookmarkEnd w:id="1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合同价款</w:t>
      </w:r>
    </w:p>
    <w:p>
      <w:pPr>
        <w:tabs>
          <w:tab w:val="left" w:pos="6715"/>
          <w:tab w:val="left" w:pos="8117"/>
        </w:tabs>
        <w:spacing w:after="10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合同总价款为人民币（大写）</w:t>
      </w:r>
      <w:r>
        <w:rPr>
          <w:rFonts w:hint="eastAsia" w:cs="宋体" w:asciiTheme="minorEastAsia" w:hAnsiTheme="minorEastAsia" w:eastAsiaTheme="minorEastAsia"/>
          <w:i/>
          <w:iCs/>
          <w:sz w:val="21"/>
          <w:szCs w:val="21"/>
          <w:u w:val="single"/>
          <w:lang w:bidi="zh-TW"/>
        </w:rPr>
        <w:t xml:space="preserve">        </w:t>
      </w:r>
      <w:r>
        <w:rPr>
          <w:rFonts w:hint="eastAsia" w:cs="宋体" w:asciiTheme="minorEastAsia" w:hAnsiTheme="minorEastAsia" w:eastAsiaTheme="minorEastAsia"/>
          <w:i/>
          <w:iCs/>
          <w:sz w:val="21"/>
          <w:szCs w:val="21"/>
          <w:lang w:bidi="zh-TW"/>
        </w:rPr>
        <w:t xml:space="preserve"> </w:t>
      </w:r>
      <w:r>
        <w:rPr>
          <w:rFonts w:hint="eastAsia" w:cs="宋体" w:asciiTheme="minorEastAsia" w:hAnsiTheme="minorEastAsia" w:eastAsiaTheme="minorEastAsia"/>
          <w:i/>
          <w:iCs/>
          <w:sz w:val="21"/>
          <w:szCs w:val="21"/>
          <w:lang w:val="zh-TW" w:eastAsia="zh-TW" w:bidi="zh-TW"/>
        </w:rPr>
        <w:t>;</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lang w:val="zh-TW" w:eastAsia="zh-TW" w:bidi="zh-TW"/>
        </w:rPr>
        <w:t>元。</w:t>
      </w:r>
    </w:p>
    <w:p>
      <w:pPr>
        <w:tabs>
          <w:tab w:val="left" w:pos="1418"/>
        </w:tabs>
        <w:ind w:firstLine="420"/>
        <w:rPr>
          <w:rFonts w:cs="宋体" w:asciiTheme="minorEastAsia" w:hAnsiTheme="minorEastAsia" w:eastAsiaTheme="minorEastAsia"/>
          <w:sz w:val="21"/>
          <w:szCs w:val="21"/>
          <w:lang w:val="zh-CN" w:eastAsia="zh-TW" w:bidi="zh-TW"/>
        </w:rPr>
      </w:pPr>
      <w:bookmarkStart w:id="12" w:name="bookmark11"/>
      <w:r>
        <w:rPr>
          <w:rFonts w:hint="eastAsia" w:cs="宋体" w:asciiTheme="minorEastAsia" w:hAnsiTheme="minorEastAsia" w:eastAsiaTheme="minorEastAsia"/>
          <w:sz w:val="21"/>
          <w:szCs w:val="21"/>
          <w:lang w:val="zh-TW" w:eastAsia="zh-TW" w:bidi="zh-TW"/>
        </w:rPr>
        <w:t>（</w:t>
      </w:r>
      <w:bookmarkEnd w:id="12"/>
      <w:r>
        <w:rPr>
          <w:rFonts w:hint="eastAsia" w:cs="宋体" w:asciiTheme="minorEastAsia" w:hAnsiTheme="minorEastAsia" w:eastAsiaTheme="minorEastAsia"/>
          <w:sz w:val="21"/>
          <w:szCs w:val="21"/>
          <w:lang w:val="zh-TW" w:eastAsia="zh-TW" w:bidi="zh-TW"/>
        </w:rPr>
        <w:t>二）合同总包括：</w:t>
      </w:r>
      <w:r>
        <w:rPr>
          <w:rFonts w:hint="eastAsia" w:cs="宋体" w:asciiTheme="minorEastAsia" w:hAnsiTheme="minorEastAsia" w:eastAsiaTheme="minorEastAsia"/>
          <w:sz w:val="21"/>
          <w:szCs w:val="21"/>
          <w:lang w:bidi="zh-TW"/>
        </w:rPr>
        <w:t>供货</w:t>
      </w:r>
      <w:r>
        <w:rPr>
          <w:rFonts w:hint="eastAsia" w:cs="宋体" w:asciiTheme="minorEastAsia" w:hAnsiTheme="minorEastAsia" w:eastAsiaTheme="minorEastAsia"/>
          <w:sz w:val="21"/>
          <w:szCs w:val="21"/>
          <w:lang w:val="zh-CN" w:eastAsia="zh-TW" w:bidi="zh-TW"/>
        </w:rPr>
        <w:t>期内全部供货和服务内容可能发生的全部费用。</w:t>
      </w:r>
    </w:p>
    <w:p>
      <w:pPr>
        <w:tabs>
          <w:tab w:val="left" w:pos="1328"/>
        </w:tabs>
        <w:ind w:firstLine="420"/>
        <w:rPr>
          <w:rFonts w:cs="宋体" w:asciiTheme="minorEastAsia" w:hAnsiTheme="minorEastAsia" w:eastAsiaTheme="minorEastAsia"/>
          <w:sz w:val="21"/>
          <w:szCs w:val="21"/>
          <w:lang w:val="zh-TW" w:eastAsia="zh-TW" w:bidi="zh-TW"/>
        </w:rPr>
      </w:pPr>
      <w:bookmarkStart w:id="13" w:name="bookmark12"/>
      <w:r>
        <w:rPr>
          <w:rFonts w:hint="eastAsia" w:cs="宋体" w:asciiTheme="minorEastAsia" w:hAnsiTheme="minorEastAsia" w:eastAsiaTheme="minorEastAsia"/>
          <w:sz w:val="21"/>
          <w:szCs w:val="21"/>
          <w:lang w:val="zh-TW" w:eastAsia="zh-TW" w:bidi="zh-TW"/>
        </w:rPr>
        <w:t>（</w:t>
      </w:r>
      <w:bookmarkEnd w:id="13"/>
      <w:r>
        <w:rPr>
          <w:rFonts w:hint="eastAsia" w:cs="宋体" w:asciiTheme="minorEastAsia" w:hAnsiTheme="minorEastAsia" w:eastAsiaTheme="minorEastAsia"/>
          <w:sz w:val="21"/>
          <w:szCs w:val="21"/>
          <w:lang w:val="zh-TW" w:eastAsia="zh-TW" w:bidi="zh-TW"/>
        </w:rPr>
        <w:t>三）合同总价一次性包死，不受市场价格变化因素的影响。</w:t>
      </w:r>
    </w:p>
    <w:p>
      <w:pPr>
        <w:tabs>
          <w:tab w:val="left" w:pos="986"/>
        </w:tabs>
        <w:ind w:firstLine="422"/>
        <w:rPr>
          <w:rFonts w:cs="宋体" w:asciiTheme="minorEastAsia" w:hAnsiTheme="minorEastAsia" w:eastAsiaTheme="minorEastAsia"/>
          <w:b/>
          <w:bCs/>
          <w:sz w:val="21"/>
          <w:szCs w:val="21"/>
          <w:lang w:val="zh-TW" w:eastAsia="zh-TW" w:bidi="zh-TW"/>
        </w:rPr>
      </w:pPr>
      <w:bookmarkStart w:id="14" w:name="bookmark13"/>
      <w:r>
        <w:rPr>
          <w:rFonts w:hint="eastAsia" w:cs="宋体" w:asciiTheme="minorEastAsia" w:hAnsiTheme="minorEastAsia" w:eastAsiaTheme="minorEastAsia"/>
          <w:b/>
          <w:bCs/>
          <w:sz w:val="21"/>
          <w:szCs w:val="21"/>
          <w:lang w:val="zh-TW" w:eastAsia="zh-TW" w:bidi="zh-TW"/>
        </w:rPr>
        <w:t>四</w:t>
      </w:r>
      <w:bookmarkEnd w:id="14"/>
      <w:r>
        <w:rPr>
          <w:rFonts w:hint="eastAsia" w:cs="宋体" w:asciiTheme="minorEastAsia" w:hAnsiTheme="minorEastAsia" w:eastAsiaTheme="minorEastAsia"/>
          <w:b/>
          <w:bCs/>
          <w:sz w:val="21"/>
          <w:szCs w:val="21"/>
          <w:lang w:val="zh-TW" w:eastAsia="zh-TW" w:bidi="zh-TW"/>
        </w:rPr>
        <w:t>、款项结算</w:t>
      </w:r>
    </w:p>
    <w:p>
      <w:pPr>
        <w:tabs>
          <w:tab w:val="left" w:pos="1328"/>
        </w:tabs>
        <w:ind w:firstLine="420"/>
        <w:rPr>
          <w:rFonts w:eastAsia="PMingLiU" w:cs="宋体" w:asciiTheme="minorEastAsia" w:hAnsiTheme="minorEastAsia"/>
          <w:sz w:val="21"/>
          <w:szCs w:val="21"/>
          <w:lang w:bidi="zh-TW"/>
        </w:rPr>
      </w:pPr>
      <w:bookmarkStart w:id="15" w:name="bookmark17"/>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一</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款项</w:t>
      </w:r>
      <w:r>
        <w:rPr>
          <w:rFonts w:hint="eastAsia" w:cs="宋体" w:asciiTheme="minorEastAsia" w:hAnsiTheme="minorEastAsia" w:eastAsiaTheme="minorEastAsia"/>
          <w:sz w:val="21"/>
          <w:szCs w:val="21"/>
          <w:lang w:val="zh-TW" w:bidi="zh-TW"/>
        </w:rPr>
        <w:t>的支付：所有货物到达甲方指定地点，安装、调试完毕并且验收合格后，如无质量、技术、服务、安全等问题，达到付款条件起 30 日内，甲方向乙方支付至合同价款的100%。</w:t>
      </w:r>
    </w:p>
    <w:p>
      <w:pPr>
        <w:tabs>
          <w:tab w:val="left" w:pos="1328"/>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eastAsia="zh-TW" w:bidi="zh-TW"/>
        </w:rPr>
        <w:t>（</w:t>
      </w:r>
      <w:bookmarkEnd w:id="15"/>
      <w:r>
        <w:rPr>
          <w:rFonts w:hint="eastAsia" w:cs="宋体" w:asciiTheme="minorEastAsia" w:hAnsiTheme="minorEastAsia" w:eastAsiaTheme="minorEastAsia"/>
          <w:sz w:val="21"/>
          <w:szCs w:val="21"/>
          <w:lang w:bidi="zh-TW"/>
        </w:rPr>
        <w:t>二</w:t>
      </w:r>
      <w:r>
        <w:rPr>
          <w:rFonts w:hint="eastAsia" w:cs="宋体" w:asciiTheme="minorEastAsia" w:hAnsiTheme="minorEastAsia" w:eastAsiaTheme="minorEastAsia"/>
          <w:sz w:val="21"/>
          <w:szCs w:val="21"/>
          <w:lang w:val="zh-TW" w:eastAsia="zh-TW" w:bidi="zh-TW"/>
        </w:rPr>
        <w:t>）付款前乙方应向甲方提供合法有效的全额发票。乙方持成交通知书、供货合同、发票，与甲方结算。</w:t>
      </w:r>
    </w:p>
    <w:p>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三</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支付方式：银行转账。</w:t>
      </w:r>
    </w:p>
    <w:p>
      <w:pPr>
        <w:tabs>
          <w:tab w:val="left" w:pos="986"/>
        </w:tabs>
        <w:ind w:firstLine="422"/>
        <w:rPr>
          <w:rFonts w:cs="宋体" w:asciiTheme="minorEastAsia" w:hAnsiTheme="minorEastAsia" w:eastAsiaTheme="minorEastAsia"/>
          <w:b/>
          <w:bCs/>
          <w:sz w:val="21"/>
          <w:szCs w:val="21"/>
          <w:lang w:val="zh-TW" w:eastAsia="zh-TW" w:bidi="zh-TW"/>
        </w:rPr>
      </w:pPr>
      <w:bookmarkStart w:id="16" w:name="bookmark19"/>
      <w:r>
        <w:rPr>
          <w:rFonts w:hint="eastAsia" w:cs="宋体" w:asciiTheme="minorEastAsia" w:hAnsiTheme="minorEastAsia" w:eastAsiaTheme="minorEastAsia"/>
          <w:b/>
          <w:bCs/>
          <w:sz w:val="21"/>
          <w:szCs w:val="21"/>
          <w:lang w:val="zh-TW" w:eastAsia="zh-TW" w:bidi="zh-TW"/>
        </w:rPr>
        <w:t>五</w:t>
      </w:r>
      <w:bookmarkEnd w:id="16"/>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双方的权利和义务</w:t>
      </w:r>
    </w:p>
    <w:p>
      <w:pPr>
        <w:tabs>
          <w:tab w:val="left" w:pos="1125"/>
        </w:tabs>
        <w:ind w:firstLine="420"/>
        <w:rPr>
          <w:rFonts w:cs="宋体" w:asciiTheme="minorEastAsia" w:hAnsiTheme="minorEastAsia" w:eastAsiaTheme="minorEastAsia"/>
          <w:sz w:val="21"/>
          <w:szCs w:val="21"/>
          <w:lang w:val="zh-TW" w:eastAsia="zh-TW" w:bidi="zh-TW"/>
        </w:rPr>
      </w:pPr>
      <w:bookmarkStart w:id="17" w:name="bookmark20"/>
      <w:r>
        <w:rPr>
          <w:rFonts w:hint="eastAsia" w:cs="宋体" w:asciiTheme="minorEastAsia" w:hAnsiTheme="minorEastAsia" w:eastAsiaTheme="minorEastAsia"/>
          <w:sz w:val="21"/>
          <w:szCs w:val="21"/>
          <w:lang w:val="zh-TW" w:eastAsia="zh-TW" w:bidi="zh-TW"/>
        </w:rPr>
        <w:t>（</w:t>
      </w:r>
      <w:bookmarkEnd w:id="17"/>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甲方的权利和义务</w:t>
      </w:r>
    </w:p>
    <w:p>
      <w:pPr>
        <w:tabs>
          <w:tab w:val="left" w:pos="1328"/>
        </w:tabs>
        <w:ind w:firstLine="420"/>
        <w:rPr>
          <w:rFonts w:cs="宋体" w:asciiTheme="minorEastAsia" w:hAnsiTheme="minorEastAsia" w:eastAsiaTheme="minorEastAsia"/>
          <w:sz w:val="21"/>
          <w:szCs w:val="21"/>
          <w:lang w:val="zh-TW" w:bidi="zh-TW"/>
        </w:rPr>
      </w:pPr>
      <w:bookmarkStart w:id="18" w:name="bookmark21"/>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甲方在收到货物通知后，应按</w:t>
      </w:r>
      <w:r>
        <w:rPr>
          <w:rFonts w:hint="eastAsia" w:cs="宋体" w:asciiTheme="minorEastAsia" w:hAnsiTheme="minorEastAsia" w:eastAsiaTheme="minorEastAsia"/>
          <w:sz w:val="21"/>
          <w:szCs w:val="21"/>
          <w:lang w:bidi="zh-TW"/>
        </w:rPr>
        <w:t>谈判</w:t>
      </w:r>
      <w:r>
        <w:rPr>
          <w:rFonts w:hint="eastAsia" w:cs="宋体" w:asciiTheme="minorEastAsia" w:hAnsiTheme="minorEastAsia" w:eastAsiaTheme="minorEastAsia"/>
          <w:sz w:val="21"/>
          <w:szCs w:val="21"/>
          <w:lang w:val="zh-TW" w:eastAsia="zh-TW" w:bidi="zh-TW"/>
        </w:rPr>
        <w:t>文件的需求</w:t>
      </w:r>
      <w:r>
        <w:rPr>
          <w:rFonts w:hint="eastAsia" w:cs="宋体" w:asciiTheme="minorEastAsia" w:hAnsiTheme="minorEastAsia" w:eastAsiaTheme="minorEastAsia"/>
          <w:sz w:val="21"/>
          <w:szCs w:val="21"/>
          <w:lang w:bidi="zh-TW"/>
        </w:rPr>
        <w:t>及成交供应商响应文件响应内容</w:t>
      </w:r>
      <w:r>
        <w:rPr>
          <w:rFonts w:hint="eastAsia" w:cs="宋体" w:asciiTheme="minorEastAsia" w:hAnsiTheme="minorEastAsia" w:eastAsiaTheme="minorEastAsia"/>
          <w:sz w:val="21"/>
          <w:szCs w:val="21"/>
          <w:lang w:val="zh-TW" w:eastAsia="zh-TW" w:bidi="zh-TW"/>
        </w:rPr>
        <w:t>进行核实，如发现不符合合同规定，及时提出</w:t>
      </w:r>
      <w:r>
        <w:rPr>
          <w:rFonts w:hint="eastAsia" w:cs="宋体" w:asciiTheme="minorEastAsia" w:hAnsiTheme="minorEastAsia" w:eastAsiaTheme="minorEastAsia"/>
          <w:sz w:val="21"/>
          <w:szCs w:val="21"/>
          <w:lang w:val="zh-TW" w:bidi="zh-TW"/>
        </w:rPr>
        <w:t>。</w:t>
      </w:r>
    </w:p>
    <w:p>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甲方在收到货后，组织人员按提供的技术参数指标进行验收。</w:t>
      </w:r>
    </w:p>
    <w:p>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18"/>
      <w:r>
        <w:rPr>
          <w:rFonts w:hint="eastAsia" w:cs="宋体" w:asciiTheme="minorEastAsia" w:hAnsiTheme="minorEastAsia" w:eastAsiaTheme="minorEastAsia"/>
          <w:sz w:val="21"/>
          <w:szCs w:val="21"/>
          <w:lang w:val="zh-TW" w:eastAsia="zh-TW" w:bidi="zh-TW"/>
        </w:rPr>
        <w:t>二）</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乙方的权利和义务</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乙方在合同约定的时间内交付产品，并负责产品的检验。</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2、乙方所提供的产品必须保证原厂生产，符合采购技术需求，运输全过程中的安全由乙方负责。</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3、乙方应积极配合甲方，最终完成产品的检验工作。</w:t>
      </w:r>
    </w:p>
    <w:p>
      <w:pPr>
        <w:tabs>
          <w:tab w:val="left" w:pos="996"/>
        </w:tabs>
        <w:ind w:firstLine="422"/>
        <w:rPr>
          <w:rFonts w:cs="宋体" w:asciiTheme="minorEastAsia" w:hAnsiTheme="minorEastAsia" w:eastAsiaTheme="minorEastAsia"/>
          <w:b/>
          <w:bCs/>
          <w:sz w:val="21"/>
          <w:szCs w:val="21"/>
          <w:lang w:val="zh-TW" w:eastAsia="zh-TW" w:bidi="zh-TW"/>
        </w:rPr>
      </w:pPr>
      <w:bookmarkStart w:id="19" w:name="bookmark22"/>
      <w:r>
        <w:rPr>
          <w:rFonts w:hint="eastAsia" w:cs="宋体" w:asciiTheme="minorEastAsia" w:hAnsiTheme="minorEastAsia" w:eastAsiaTheme="minorEastAsia"/>
          <w:b/>
          <w:bCs/>
          <w:sz w:val="21"/>
          <w:szCs w:val="21"/>
          <w:lang w:val="zh-TW" w:eastAsia="zh-TW" w:bidi="zh-TW"/>
        </w:rPr>
        <w:t>六</w:t>
      </w:r>
      <w:bookmarkEnd w:id="19"/>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质量保证</w:t>
      </w:r>
    </w:p>
    <w:p>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必须执行下列条款：</w:t>
      </w:r>
    </w:p>
    <w:p>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w:t>
      </w:r>
    </w:p>
    <w:p>
      <w:pPr>
        <w:tabs>
          <w:tab w:val="left" w:pos="1429"/>
        </w:tabs>
        <w:ind w:firstLine="420"/>
        <w:rPr>
          <w:rFonts w:cs="宋体" w:asciiTheme="minorEastAsia" w:hAnsiTheme="minorEastAsia" w:eastAsiaTheme="minorEastAsia"/>
          <w:sz w:val="21"/>
          <w:szCs w:val="21"/>
          <w:lang w:val="zh-TW" w:eastAsia="zh-TW" w:bidi="zh-TW"/>
        </w:rPr>
      </w:pPr>
      <w:bookmarkStart w:id="20" w:name="bookmark25"/>
      <w:r>
        <w:rPr>
          <w:rFonts w:hint="eastAsia" w:cs="宋体" w:asciiTheme="minorEastAsia" w:hAnsiTheme="minorEastAsia" w:eastAsiaTheme="minorEastAsia"/>
          <w:sz w:val="21"/>
          <w:szCs w:val="21"/>
          <w:lang w:val="zh-TW" w:eastAsia="zh-TW" w:bidi="zh-TW"/>
        </w:rPr>
        <w:t>（</w:t>
      </w:r>
      <w:bookmarkEnd w:id="20"/>
      <w:r>
        <w:rPr>
          <w:rFonts w:hint="eastAsia" w:cs="宋体" w:asciiTheme="minorEastAsia" w:hAnsiTheme="minorEastAsia" w:eastAsiaTheme="minorEastAsia"/>
          <w:sz w:val="21"/>
          <w:szCs w:val="21"/>
          <w:lang w:val="zh-TW" w:eastAsia="zh-TW" w:bidi="zh-TW"/>
        </w:rPr>
        <w:t>二）保证所供产品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指标先进、质量性能可靠、配置合理、进货渠道正规，全面满足竞争性谈判文件要求，是全新、未使用过的、完整的、安全可靠的产品。严禁提供旧货翻新或假冒伪劣产品或次品、残品，并完全符合强制性的国家技术质量规范和</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eastAsia="zh-TW" w:bidi="zh-TW"/>
        </w:rPr>
        <w:t>文件规定的质量、规格、性能和技术规范等的要求。并能按期交付。在交付甲方前发生的风险均由乙方负责。</w:t>
      </w:r>
    </w:p>
    <w:p>
      <w:pPr>
        <w:tabs>
          <w:tab w:val="left" w:pos="1438"/>
        </w:tabs>
        <w:ind w:firstLine="420"/>
        <w:rPr>
          <w:rFonts w:cs="宋体" w:asciiTheme="minorEastAsia" w:hAnsiTheme="minorEastAsia" w:eastAsiaTheme="minorEastAsia"/>
          <w:sz w:val="21"/>
          <w:szCs w:val="21"/>
          <w:lang w:val="zh-TW" w:eastAsia="zh-TW" w:bidi="zh-TW"/>
        </w:rPr>
      </w:pPr>
      <w:bookmarkStart w:id="21" w:name="bookmark26"/>
      <w:r>
        <w:rPr>
          <w:rFonts w:hint="eastAsia" w:cs="宋体" w:asciiTheme="minorEastAsia" w:hAnsiTheme="minorEastAsia" w:eastAsiaTheme="minorEastAsia"/>
          <w:sz w:val="21"/>
          <w:szCs w:val="21"/>
          <w:lang w:val="zh-TW" w:eastAsia="zh-TW" w:bidi="zh-TW"/>
        </w:rPr>
        <w:t>（</w:t>
      </w:r>
      <w:bookmarkEnd w:id="21"/>
      <w:r>
        <w:rPr>
          <w:rFonts w:hint="eastAsia" w:cs="宋体" w:asciiTheme="minorEastAsia" w:hAnsiTheme="minorEastAsia" w:eastAsiaTheme="minorEastAsia"/>
          <w:sz w:val="21"/>
          <w:szCs w:val="21"/>
          <w:lang w:val="zh-TW" w:eastAsia="zh-TW" w:bidi="zh-TW"/>
        </w:rPr>
        <w:t>三）保证所供产品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在装卸、运输和仓储过程中有足够的包装保护，防止产品/设备受潮、锈蚀、遭受冲撞及其他不可预见的损坏。</w:t>
      </w:r>
    </w:p>
    <w:p>
      <w:pPr>
        <w:tabs>
          <w:tab w:val="left" w:pos="1429"/>
        </w:tabs>
        <w:ind w:firstLine="420"/>
        <w:rPr>
          <w:rFonts w:cs="宋体" w:asciiTheme="minorEastAsia" w:hAnsiTheme="minorEastAsia" w:eastAsiaTheme="minorEastAsia"/>
          <w:sz w:val="21"/>
          <w:szCs w:val="21"/>
          <w:lang w:val="zh-TW" w:eastAsia="zh-TW" w:bidi="zh-TW"/>
        </w:rPr>
      </w:pPr>
      <w:bookmarkStart w:id="22" w:name="bookmark27"/>
      <w:r>
        <w:rPr>
          <w:rFonts w:hint="eastAsia" w:cs="宋体" w:asciiTheme="minorEastAsia" w:hAnsiTheme="minorEastAsia" w:eastAsiaTheme="minorEastAsia"/>
          <w:sz w:val="21"/>
          <w:szCs w:val="21"/>
          <w:lang w:val="zh-TW" w:eastAsia="zh-TW" w:bidi="zh-TW"/>
        </w:rPr>
        <w:t>（</w:t>
      </w:r>
      <w:bookmarkEnd w:id="22"/>
      <w:r>
        <w:rPr>
          <w:rFonts w:hint="eastAsia" w:cs="宋体" w:asciiTheme="minorEastAsia" w:hAnsiTheme="minorEastAsia" w:eastAsiaTheme="minorEastAsia"/>
          <w:sz w:val="21"/>
          <w:szCs w:val="21"/>
          <w:lang w:val="zh-TW" w:eastAsia="zh-TW" w:bidi="zh-TW"/>
        </w:rPr>
        <w:t>四）保证所供产品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适合各种安装场所的使用要求，确保达到最佳运行状态。</w:t>
      </w:r>
    </w:p>
    <w:p>
      <w:pPr>
        <w:tabs>
          <w:tab w:val="left" w:pos="1438"/>
        </w:tabs>
        <w:ind w:firstLine="420"/>
        <w:rPr>
          <w:rFonts w:cs="宋体" w:asciiTheme="minorEastAsia" w:hAnsiTheme="minorEastAsia" w:eastAsiaTheme="minorEastAsia"/>
          <w:sz w:val="21"/>
          <w:szCs w:val="21"/>
          <w:lang w:val="zh-TW" w:eastAsia="zh-TW" w:bidi="zh-TW"/>
        </w:rPr>
      </w:pPr>
      <w:bookmarkStart w:id="23" w:name="bookmark28"/>
      <w:r>
        <w:rPr>
          <w:rFonts w:hint="eastAsia" w:cs="宋体" w:asciiTheme="minorEastAsia" w:hAnsiTheme="minorEastAsia" w:eastAsiaTheme="minorEastAsia"/>
          <w:sz w:val="21"/>
          <w:szCs w:val="21"/>
          <w:lang w:val="zh-TW" w:eastAsia="zh-TW" w:bidi="zh-TW"/>
        </w:rPr>
        <w:t>（</w:t>
      </w:r>
      <w:bookmarkEnd w:id="23"/>
      <w:r>
        <w:rPr>
          <w:rFonts w:hint="eastAsia" w:cs="宋体" w:asciiTheme="minorEastAsia" w:hAnsiTheme="minorEastAsia" w:eastAsiaTheme="minorEastAsia"/>
          <w:sz w:val="21"/>
          <w:szCs w:val="21"/>
          <w:lang w:val="zh-TW" w:eastAsia="zh-TW" w:bidi="zh-TW"/>
        </w:rPr>
        <w:t>五）乙方所供产品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因侵权而产生的一切后果由乙方负责，甲方保留索赔权。</w:t>
      </w:r>
    </w:p>
    <w:p>
      <w:pPr>
        <w:tabs>
          <w:tab w:val="left" w:pos="1384"/>
        </w:tabs>
        <w:ind w:firstLine="420"/>
        <w:rPr>
          <w:rFonts w:cs="宋体" w:asciiTheme="minorEastAsia" w:hAnsiTheme="minorEastAsia" w:eastAsiaTheme="minorEastAsia"/>
          <w:sz w:val="21"/>
          <w:szCs w:val="21"/>
          <w:lang w:val="zh-TW" w:eastAsia="zh-TW" w:bidi="zh-TW"/>
        </w:rPr>
      </w:pPr>
      <w:bookmarkStart w:id="24" w:name="bookmark29"/>
      <w:r>
        <w:rPr>
          <w:rFonts w:hint="eastAsia" w:cs="宋体" w:asciiTheme="minorEastAsia" w:hAnsiTheme="minorEastAsia" w:eastAsiaTheme="minorEastAsia"/>
          <w:sz w:val="21"/>
          <w:szCs w:val="21"/>
          <w:lang w:val="zh-TW" w:eastAsia="zh-TW" w:bidi="zh-TW"/>
        </w:rPr>
        <w:t>（</w:t>
      </w:r>
      <w:bookmarkEnd w:id="24"/>
      <w:r>
        <w:rPr>
          <w:rFonts w:hint="eastAsia" w:cs="宋体" w:asciiTheme="minorEastAsia" w:hAnsiTheme="minorEastAsia" w:eastAsiaTheme="minorEastAsia"/>
          <w:sz w:val="21"/>
          <w:szCs w:val="21"/>
          <w:lang w:val="zh-TW" w:eastAsia="zh-TW" w:bidi="zh-TW"/>
        </w:rPr>
        <w:t>六）乙方提供的货物经正确安装、正常运转和保养，在其使用寿命期内须具有符合质量要求和产品说明书的性能。在货物免费质保期之内，乙方须对由于设计、工艺或材料的缺陷而发生的任何不足或故障负责。</w:t>
      </w:r>
    </w:p>
    <w:p>
      <w:pPr>
        <w:tabs>
          <w:tab w:val="left" w:pos="1384"/>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根据甲方按检验标准自己检验结果或委托有资质的相关质检机构的检验结果，发现货物的数量、质量、规格与合同不符；或者在质量保证期内，证实货物存在缺陷，包括潜在的缺陷或使用不符合要求的材料等，甲方应尽快以书面形式通知乙方。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bidi="zh-TW"/>
        </w:rPr>
        <w:t>日内应免费维修或更换有缺陷的货物或部件。如果乙方在收到通知后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日内没有弥补缺陷，甲方可采取必要的补救措施，但由此引发的风险和费用将由乙方承担。</w:t>
      </w:r>
    </w:p>
    <w:p>
      <w:pPr>
        <w:pStyle w:val="6"/>
        <w:spacing w:line="360" w:lineRule="auto"/>
        <w:ind w:firstLine="21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zh-TW" w:eastAsia="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sz w:val="21"/>
          <w:szCs w:val="21"/>
          <w:lang w:bidi="zh-TW"/>
        </w:rPr>
        <w:t>需保证</w:t>
      </w:r>
      <w:r>
        <w:rPr>
          <w:rFonts w:hint="eastAsia" w:cs="宋体" w:asciiTheme="minorEastAsia" w:hAnsiTheme="minorEastAsia" w:eastAsiaTheme="minorEastAsia"/>
          <w:sz w:val="21"/>
          <w:szCs w:val="21"/>
          <w:lang w:val="zh-TW" w:eastAsia="zh-TW" w:bidi="zh-TW"/>
        </w:rPr>
        <w:t>提供的货物</w:t>
      </w:r>
      <w:r>
        <w:rPr>
          <w:rFonts w:hint="eastAsia" w:cs="宋体" w:asciiTheme="minorEastAsia" w:hAnsiTheme="minorEastAsia" w:eastAsiaTheme="minorEastAsia"/>
          <w:sz w:val="21"/>
          <w:szCs w:val="21"/>
          <w:lang w:bidi="zh-TW"/>
        </w:rPr>
        <w:t>来源渠道合法，不会有任何第三方向甲方主张任何权利。</w:t>
      </w:r>
    </w:p>
    <w:p>
      <w:pPr>
        <w:tabs>
          <w:tab w:val="left" w:pos="986"/>
        </w:tabs>
        <w:ind w:firstLine="422"/>
        <w:rPr>
          <w:rFonts w:cs="宋体" w:asciiTheme="minorEastAsia" w:hAnsiTheme="minorEastAsia" w:eastAsiaTheme="minorEastAsia"/>
          <w:b/>
          <w:bCs/>
          <w:sz w:val="21"/>
          <w:szCs w:val="21"/>
          <w:lang w:bidi="zh-TW"/>
        </w:rPr>
      </w:pPr>
      <w:bookmarkStart w:id="25" w:name="bookmark30"/>
      <w:r>
        <w:rPr>
          <w:rFonts w:hint="eastAsia" w:cs="宋体" w:asciiTheme="minorEastAsia" w:hAnsiTheme="minorEastAsia" w:eastAsiaTheme="minorEastAsia"/>
          <w:b/>
          <w:bCs/>
          <w:sz w:val="21"/>
          <w:szCs w:val="21"/>
          <w:lang w:val="zh-TW" w:eastAsia="zh-TW" w:bidi="zh-TW"/>
        </w:rPr>
        <w:t>七</w:t>
      </w:r>
      <w:bookmarkEnd w:id="25"/>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包装和储存</w:t>
      </w:r>
    </w:p>
    <w:p>
      <w:pPr>
        <w:tabs>
          <w:tab w:val="left" w:pos="1438"/>
        </w:tabs>
        <w:ind w:firstLine="420"/>
        <w:rPr>
          <w:rFonts w:cs="宋体" w:asciiTheme="minorEastAsia" w:hAnsiTheme="minorEastAsia" w:eastAsiaTheme="minorEastAsia"/>
          <w:sz w:val="21"/>
          <w:szCs w:val="21"/>
          <w:lang w:val="zh-TW" w:eastAsia="zh-TW" w:bidi="zh-TW"/>
        </w:rPr>
      </w:pPr>
      <w:bookmarkStart w:id="26" w:name="bookmark31"/>
      <w:r>
        <w:rPr>
          <w:rFonts w:hint="eastAsia" w:cs="宋体" w:asciiTheme="minorEastAsia" w:hAnsiTheme="minorEastAsia" w:eastAsiaTheme="minorEastAsia"/>
          <w:sz w:val="21"/>
          <w:szCs w:val="21"/>
          <w:lang w:val="zh-TW" w:eastAsia="zh-TW" w:bidi="zh-TW"/>
        </w:rPr>
        <w:t>（</w:t>
      </w:r>
      <w:bookmarkEnd w:id="26"/>
      <w:r>
        <w:rPr>
          <w:rFonts w:hint="eastAsia" w:cs="宋体" w:asciiTheme="minorEastAsia" w:hAnsiTheme="minorEastAsia" w:eastAsiaTheme="minorEastAsia"/>
          <w:sz w:val="21"/>
          <w:szCs w:val="21"/>
          <w:lang w:val="zh-TW" w:eastAsia="zh-TW" w:bidi="zh-TW"/>
        </w:rPr>
        <w:t>一）产品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及其备附件的包装应为出厂时的原包装，包装内应附有详细的装箱清单、出厂合格证明及其他相关资料。</w:t>
      </w:r>
    </w:p>
    <w:p>
      <w:pPr>
        <w:tabs>
          <w:tab w:val="left" w:pos="1429"/>
        </w:tabs>
        <w:ind w:firstLine="420"/>
        <w:rPr>
          <w:rFonts w:cs="宋体" w:asciiTheme="minorEastAsia" w:hAnsiTheme="minorEastAsia" w:eastAsiaTheme="minorEastAsia"/>
          <w:sz w:val="21"/>
          <w:szCs w:val="21"/>
          <w:lang w:val="zh-TW" w:eastAsia="zh-TW" w:bidi="zh-TW"/>
        </w:rPr>
      </w:pPr>
      <w:bookmarkStart w:id="27" w:name="bookmark32"/>
      <w:r>
        <w:rPr>
          <w:rFonts w:hint="eastAsia" w:cs="宋体" w:asciiTheme="minorEastAsia" w:hAnsiTheme="minorEastAsia" w:eastAsiaTheme="minorEastAsia"/>
          <w:sz w:val="21"/>
          <w:szCs w:val="21"/>
          <w:lang w:val="zh-TW" w:eastAsia="zh-TW" w:bidi="zh-TW"/>
        </w:rPr>
        <w:t>（</w:t>
      </w:r>
      <w:bookmarkEnd w:id="27"/>
      <w:r>
        <w:rPr>
          <w:rFonts w:hint="eastAsia" w:cs="宋体" w:asciiTheme="minorEastAsia" w:hAnsiTheme="minorEastAsia" w:eastAsiaTheme="minorEastAsia"/>
          <w:sz w:val="21"/>
          <w:szCs w:val="21"/>
          <w:lang w:val="zh-TW" w:eastAsia="zh-TW" w:bidi="zh-TW"/>
        </w:rPr>
        <w:t>二）运输由乙方负责，运杂费已包含在合同总价内，包括从产品/设备供应地点运送至交付地点所含的运输费、装卸费、仓储费、保险费等。</w:t>
      </w:r>
    </w:p>
    <w:p>
      <w:pPr>
        <w:tabs>
          <w:tab w:val="left" w:pos="1408"/>
        </w:tabs>
        <w:ind w:firstLine="420"/>
        <w:rPr>
          <w:rFonts w:cs="宋体" w:asciiTheme="minorEastAsia" w:hAnsiTheme="minorEastAsia" w:eastAsiaTheme="minorEastAsia"/>
          <w:sz w:val="21"/>
          <w:szCs w:val="21"/>
          <w:lang w:val="zh-TW" w:eastAsia="zh-TW" w:bidi="zh-TW"/>
        </w:rPr>
      </w:pPr>
      <w:bookmarkStart w:id="28" w:name="bookmark33"/>
      <w:r>
        <w:rPr>
          <w:rFonts w:hint="eastAsia" w:cs="宋体" w:asciiTheme="minorEastAsia" w:hAnsiTheme="minorEastAsia" w:eastAsiaTheme="minorEastAsia"/>
          <w:sz w:val="21"/>
          <w:szCs w:val="21"/>
          <w:lang w:val="zh-TW" w:eastAsia="zh-TW" w:bidi="zh-TW"/>
        </w:rPr>
        <w:t>（</w:t>
      </w:r>
      <w:bookmarkEnd w:id="28"/>
      <w:r>
        <w:rPr>
          <w:rFonts w:hint="eastAsia" w:cs="宋体" w:asciiTheme="minorEastAsia" w:hAnsiTheme="minorEastAsia" w:eastAsiaTheme="minorEastAsia"/>
          <w:sz w:val="21"/>
          <w:szCs w:val="21"/>
          <w:lang w:val="zh-TW" w:eastAsia="zh-TW" w:bidi="zh-TW"/>
        </w:rPr>
        <w:t>三）运输方式由乙方自行选择，但必须保证按期交付。</w:t>
      </w:r>
    </w:p>
    <w:p>
      <w:pPr>
        <w:tabs>
          <w:tab w:val="left" w:pos="1429"/>
        </w:tabs>
        <w:ind w:firstLine="420"/>
        <w:rPr>
          <w:rFonts w:cs="宋体" w:asciiTheme="minorEastAsia" w:hAnsiTheme="minorEastAsia" w:eastAsiaTheme="minorEastAsia"/>
          <w:sz w:val="21"/>
          <w:szCs w:val="21"/>
          <w:lang w:val="zh-TW" w:eastAsia="zh-TW" w:bidi="zh-TW"/>
        </w:rPr>
      </w:pPr>
      <w:bookmarkStart w:id="29" w:name="bookmark34"/>
      <w:r>
        <w:rPr>
          <w:rFonts w:hint="eastAsia" w:cs="宋体" w:asciiTheme="minorEastAsia" w:hAnsiTheme="minorEastAsia" w:eastAsiaTheme="minorEastAsia"/>
          <w:sz w:val="21"/>
          <w:szCs w:val="21"/>
          <w:lang w:val="zh-TW" w:eastAsia="zh-TW" w:bidi="zh-TW"/>
        </w:rPr>
        <w:t>（</w:t>
      </w:r>
      <w:bookmarkEnd w:id="29"/>
      <w:r>
        <w:rPr>
          <w:rFonts w:hint="eastAsia" w:cs="宋体" w:asciiTheme="minorEastAsia" w:hAnsiTheme="minorEastAsia" w:eastAsiaTheme="minorEastAsia"/>
          <w:sz w:val="21"/>
          <w:szCs w:val="21"/>
          <w:lang w:val="zh-TW" w:eastAsia="zh-TW" w:bidi="zh-TW"/>
        </w:rPr>
        <w:t>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及其备附件到达甲方指定地点后，乙方应按有关技术规程和甲方要求进行存放和保管。</w:t>
      </w:r>
    </w:p>
    <w:p>
      <w:pPr>
        <w:tabs>
          <w:tab w:val="left" w:pos="1384"/>
        </w:tabs>
        <w:ind w:firstLine="420"/>
        <w:rPr>
          <w:rFonts w:cs="宋体" w:asciiTheme="minorEastAsia" w:hAnsiTheme="minorEastAsia" w:eastAsiaTheme="minorEastAsia"/>
          <w:sz w:val="21"/>
          <w:szCs w:val="21"/>
          <w:lang w:val="zh-TW" w:eastAsia="zh-TW" w:bidi="zh-TW"/>
        </w:rPr>
      </w:pPr>
      <w:bookmarkStart w:id="30" w:name="bookmark35"/>
      <w:r>
        <w:rPr>
          <w:rFonts w:hint="eastAsia" w:cs="宋体" w:asciiTheme="minorEastAsia" w:hAnsiTheme="minorEastAsia" w:eastAsiaTheme="minorEastAsia"/>
          <w:sz w:val="21"/>
          <w:szCs w:val="21"/>
          <w:lang w:val="zh-TW" w:eastAsia="zh-TW" w:bidi="zh-TW"/>
        </w:rPr>
        <w:t>（</w:t>
      </w:r>
      <w:bookmarkEnd w:id="30"/>
      <w:r>
        <w:rPr>
          <w:rFonts w:hint="eastAsia" w:cs="宋体" w:asciiTheme="minorEastAsia" w:hAnsiTheme="minorEastAsia" w:eastAsiaTheme="minorEastAsia"/>
          <w:sz w:val="21"/>
          <w:szCs w:val="21"/>
          <w:lang w:val="zh-TW" w:eastAsia="zh-TW" w:bidi="zh-TW"/>
        </w:rPr>
        <w:t>五）乙方在货物发运前对其进行满足运输距离、防潮、防震、防锈和防破损装卸等要求包装，以保证货物安全运达甲方指定地点。</w:t>
      </w:r>
    </w:p>
    <w:p>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 xml:space="preserve"> 乙方负责所有产品的运输。确保产品安全、完整到达使用地点，运杂费用包含在总价内，包括产品从供货地点到使用地点的运输费、保险费、搬运费、装卸费、仓储费等。</w:t>
      </w:r>
    </w:p>
    <w:p>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使用说明书、质量检验证明书、随配附件和工具以及清单一并附于货物内。</w:t>
      </w:r>
    </w:p>
    <w:p>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乙方在货物发运手续办理完毕后24小时内或货到甲方48小时前通知甲方，以准备接货。</w:t>
      </w:r>
    </w:p>
    <w:p>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九</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货物在交付甲方前发生的风险均由乙方负责。</w:t>
      </w:r>
    </w:p>
    <w:p>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货物在规定的交付期限内由乙方送达甲方指定的地点视为交付，乙方同时需通知甲方货物已送达。</w:t>
      </w:r>
    </w:p>
    <w:p>
      <w:pPr>
        <w:tabs>
          <w:tab w:val="left" w:pos="986"/>
        </w:tabs>
        <w:ind w:firstLine="422"/>
        <w:rPr>
          <w:rFonts w:cs="宋体" w:asciiTheme="minorEastAsia" w:hAnsiTheme="minorEastAsia" w:eastAsiaTheme="minorEastAsia"/>
          <w:b/>
          <w:bCs/>
          <w:sz w:val="21"/>
          <w:szCs w:val="21"/>
          <w:lang w:val="zh-TW" w:eastAsia="zh-TW" w:bidi="zh-TW"/>
        </w:rPr>
      </w:pPr>
      <w:bookmarkStart w:id="31" w:name="bookmark36"/>
      <w:r>
        <w:rPr>
          <w:rFonts w:hint="eastAsia" w:cs="宋体" w:asciiTheme="minorEastAsia" w:hAnsiTheme="minorEastAsia" w:eastAsiaTheme="minorEastAsia"/>
          <w:b/>
          <w:bCs/>
          <w:sz w:val="21"/>
          <w:szCs w:val="21"/>
          <w:lang w:val="zh-TW" w:eastAsia="zh-TW" w:bidi="zh-TW"/>
        </w:rPr>
        <w:t>八</w:t>
      </w:r>
      <w:bookmarkEnd w:id="3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验收</w:t>
      </w:r>
    </w:p>
    <w:p>
      <w:pPr>
        <w:spacing w:after="6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（一）外观验收：产品及其备附件到达甲方指定地点后，甲方</w:t>
      </w:r>
      <w:r>
        <w:rPr>
          <w:rFonts w:hint="eastAsia" w:cs="宋体" w:asciiTheme="minorEastAsia" w:hAnsiTheme="minorEastAsia" w:eastAsiaTheme="minorEastAsia"/>
          <w:sz w:val="21"/>
          <w:szCs w:val="21"/>
          <w:lang w:bidi="zh-TW"/>
        </w:rPr>
        <w:t>根据</w:t>
      </w:r>
      <w:r>
        <w:rPr>
          <w:rFonts w:hint="eastAsia" w:cs="宋体" w:asciiTheme="minorEastAsia" w:hAnsiTheme="minorEastAsia" w:eastAsiaTheme="minorEastAsia"/>
          <w:sz w:val="21"/>
          <w:szCs w:val="21"/>
          <w:lang w:val="zh-TW" w:eastAsia="zh-TW" w:bidi="zh-TW"/>
        </w:rPr>
        <w:t>合同要求，在乙方和甲方相关负责人双方同时在场的情况下，进行外观</w:t>
      </w:r>
      <w:r>
        <w:rPr>
          <w:rFonts w:hint="eastAsia" w:cs="宋体" w:asciiTheme="minorEastAsia" w:hAnsiTheme="minorEastAsia" w:eastAsiaTheme="minorEastAsia"/>
          <w:sz w:val="21"/>
          <w:szCs w:val="21"/>
          <w:lang w:bidi="zh-TW"/>
        </w:rPr>
        <w:t>验收</w:t>
      </w:r>
      <w:r>
        <w:rPr>
          <w:rFonts w:hint="eastAsia" w:cs="宋体" w:asciiTheme="minorEastAsia" w:hAnsiTheme="minorEastAsia" w:eastAsiaTheme="minorEastAsia"/>
          <w:sz w:val="21"/>
          <w:szCs w:val="21"/>
          <w:lang w:val="zh-TW" w:eastAsia="zh-TW" w:bidi="zh-TW"/>
        </w:rPr>
        <w:t>，确认产地、规格、型号和数量。</w:t>
      </w:r>
    </w:p>
    <w:p>
      <w:pPr>
        <w:tabs>
          <w:tab w:val="left" w:pos="1419"/>
        </w:tabs>
        <w:ind w:firstLine="420"/>
        <w:rPr>
          <w:rFonts w:cs="宋体" w:asciiTheme="minorEastAsia" w:hAnsiTheme="minorEastAsia" w:eastAsiaTheme="minorEastAsia"/>
          <w:sz w:val="21"/>
          <w:szCs w:val="21"/>
          <w:lang w:val="zh-TW" w:eastAsia="zh-TW" w:bidi="zh-TW"/>
        </w:rPr>
      </w:pPr>
      <w:bookmarkStart w:id="32" w:name="bookmark37"/>
      <w:r>
        <w:rPr>
          <w:rFonts w:hint="eastAsia" w:cs="宋体" w:asciiTheme="minorEastAsia" w:hAnsiTheme="minorEastAsia" w:eastAsiaTheme="minorEastAsia"/>
          <w:sz w:val="21"/>
          <w:szCs w:val="21"/>
          <w:lang w:val="zh-TW" w:eastAsia="zh-TW" w:bidi="zh-TW"/>
        </w:rPr>
        <w:t>（</w:t>
      </w:r>
      <w:bookmarkEnd w:id="32"/>
      <w:r>
        <w:rPr>
          <w:rFonts w:hint="eastAsia" w:cs="宋体" w:asciiTheme="minorEastAsia" w:hAnsiTheme="minorEastAsia" w:eastAsiaTheme="minorEastAsia"/>
          <w:sz w:val="21"/>
          <w:szCs w:val="21"/>
          <w:lang w:val="zh-TW" w:eastAsia="zh-TW" w:bidi="zh-TW"/>
        </w:rPr>
        <w:t>二）安装调试：乙方应配合甲方的要求，负责在现场对产品进行安装、调试和试运行。</w:t>
      </w:r>
    </w:p>
    <w:p>
      <w:pPr>
        <w:tabs>
          <w:tab w:val="left" w:pos="1419"/>
        </w:tabs>
        <w:ind w:firstLine="420"/>
        <w:rPr>
          <w:rFonts w:eastAsia="PMingLiU" w:cs="宋体" w:asciiTheme="minorEastAsia" w:hAnsiTheme="minorEastAsia"/>
          <w:sz w:val="21"/>
          <w:szCs w:val="21"/>
          <w:lang w:val="zh-TW" w:eastAsia="zh-TW" w:bidi="zh-TW"/>
        </w:rPr>
      </w:pPr>
      <w:bookmarkStart w:id="33" w:name="bookmark38"/>
      <w:r>
        <w:rPr>
          <w:rFonts w:hint="eastAsia" w:cs="宋体" w:asciiTheme="minorEastAsia" w:hAnsiTheme="minorEastAsia" w:eastAsiaTheme="minorEastAsia"/>
          <w:sz w:val="21"/>
          <w:szCs w:val="21"/>
          <w:lang w:val="zh-TW" w:eastAsia="zh-TW" w:bidi="zh-TW"/>
        </w:rPr>
        <w:t>（</w:t>
      </w:r>
      <w:bookmarkEnd w:id="33"/>
      <w:r>
        <w:rPr>
          <w:rFonts w:hint="eastAsia" w:cs="宋体" w:asciiTheme="minorEastAsia" w:hAnsiTheme="minorEastAsia" w:eastAsiaTheme="minorEastAsia"/>
          <w:sz w:val="21"/>
          <w:szCs w:val="21"/>
          <w:lang w:val="zh-TW" w:eastAsia="zh-TW" w:bidi="zh-TW"/>
        </w:rPr>
        <w:t>三）最终验收：产品安装调试和运行后，由乙方向甲方递交产</w:t>
      </w:r>
      <w:r>
        <w:rPr>
          <w:rFonts w:hint="eastAsia" w:cs="宋体" w:asciiTheme="minorEastAsia" w:hAnsiTheme="minorEastAsia" w:eastAsiaTheme="minorEastAsia"/>
          <w:sz w:val="21"/>
          <w:szCs w:val="21"/>
          <w:lang w:bidi="en-US"/>
        </w:rPr>
        <w:t>品</w:t>
      </w:r>
      <w:r>
        <w:rPr>
          <w:rFonts w:hint="eastAsia" w:cs="宋体" w:asciiTheme="minorEastAsia" w:hAnsiTheme="minorEastAsia" w:eastAsiaTheme="minorEastAsia"/>
          <w:sz w:val="21"/>
          <w:szCs w:val="21"/>
          <w:lang w:val="zh-TW" w:eastAsia="zh-TW" w:bidi="zh-TW"/>
        </w:rPr>
        <w:t>安装调试记录和验收文件，并列出交货清单，作为甲方收货验收和使用的技术条件依据，检验的结果应随货物交甲方。经甲方确认后，组织乙方进行系统</w:t>
      </w:r>
      <w:r>
        <w:rPr>
          <w:rFonts w:hint="eastAsia" w:cs="宋体" w:asciiTheme="minorEastAsia" w:hAnsiTheme="minorEastAsia" w:eastAsiaTheme="minorEastAsia"/>
          <w:sz w:val="21"/>
          <w:szCs w:val="21"/>
          <w:lang w:bidi="zh-TW"/>
        </w:rPr>
        <w:t>验收</w:t>
      </w:r>
      <w:r>
        <w:rPr>
          <w:rFonts w:hint="eastAsia" w:cs="宋体" w:asciiTheme="minorEastAsia" w:hAnsiTheme="minorEastAsia" w:eastAsiaTheme="minorEastAsia"/>
          <w:sz w:val="21"/>
          <w:szCs w:val="21"/>
          <w:lang w:val="zh-TW" w:eastAsia="zh-TW" w:bidi="zh-TW"/>
        </w:rPr>
        <w:t>（必要时甲方可委托具有相关资质的第三方检测机构/技术专家对产品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进行系统验收，由此产生的相关费用由乙方承担，需要国家法定检验部门进行检验或验收的由乙方负责联系）。验收合格后，填写政府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购项目覆约验收单（一式伍份）作为对产品/设备的最终认可。</w:t>
      </w:r>
    </w:p>
    <w:p>
      <w:pPr>
        <w:tabs>
          <w:tab w:val="left" w:pos="1428"/>
        </w:tabs>
        <w:spacing w:after="120"/>
        <w:ind w:firstLine="420"/>
        <w:rPr>
          <w:rFonts w:cs="宋体" w:asciiTheme="minorEastAsia" w:hAnsiTheme="minorEastAsia" w:eastAsiaTheme="minorEastAsia"/>
          <w:sz w:val="21"/>
          <w:szCs w:val="21"/>
          <w:lang w:val="zh-TW" w:eastAsia="zh-TW" w:bidi="zh-TW"/>
        </w:rPr>
      </w:pPr>
      <w:bookmarkStart w:id="34" w:name="bookmark39"/>
      <w:r>
        <w:rPr>
          <w:rFonts w:hint="eastAsia" w:cs="宋体" w:asciiTheme="minorEastAsia" w:hAnsiTheme="minorEastAsia" w:eastAsiaTheme="minorEastAsia"/>
          <w:sz w:val="21"/>
          <w:szCs w:val="21"/>
          <w:lang w:val="zh-TW" w:eastAsia="zh-TW" w:bidi="zh-TW"/>
        </w:rPr>
        <w:t>（</w:t>
      </w:r>
      <w:bookmarkEnd w:id="34"/>
      <w:r>
        <w:rPr>
          <w:rFonts w:hint="eastAsia" w:cs="宋体" w:asciiTheme="minorEastAsia" w:hAnsiTheme="minorEastAsia" w:eastAsiaTheme="minorEastAsia"/>
          <w:sz w:val="21"/>
          <w:szCs w:val="21"/>
          <w:lang w:val="zh-TW" w:eastAsia="zh-TW" w:bidi="zh-TW"/>
        </w:rPr>
        <w:t>四）验收</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p>
    <w:p>
      <w:pPr>
        <w:tabs>
          <w:tab w:val="left" w:pos="1419"/>
        </w:tabs>
        <w:ind w:firstLine="420"/>
        <w:rPr>
          <w:rFonts w:cs="宋体" w:asciiTheme="minorEastAsia" w:hAnsiTheme="minorEastAsia" w:eastAsiaTheme="minorEastAsia"/>
          <w:sz w:val="21"/>
          <w:szCs w:val="21"/>
          <w:lang w:val="zh-TW" w:eastAsia="zh-TW" w:bidi="zh-TW"/>
        </w:rPr>
      </w:pPr>
      <w:bookmarkStart w:id="35" w:name="bookmark40"/>
      <w:r>
        <w:rPr>
          <w:rFonts w:hint="eastAsia" w:cs="宋体" w:asciiTheme="minorEastAsia" w:hAnsiTheme="minorEastAsia" w:eastAsiaTheme="minorEastAsia"/>
          <w:sz w:val="21"/>
          <w:szCs w:val="21"/>
          <w:lang w:val="zh-TW" w:eastAsia="zh-TW" w:bidi="zh-TW"/>
        </w:rPr>
        <w:t>1</w:t>
      </w:r>
      <w:bookmarkEnd w:id="35"/>
      <w:r>
        <w:rPr>
          <w:rFonts w:hint="eastAsia" w:cs="宋体" w:asciiTheme="minorEastAsia" w:hAnsiTheme="minorEastAsia" w:eastAsiaTheme="minorEastAsia"/>
          <w:sz w:val="21"/>
          <w:szCs w:val="21"/>
          <w:lang w:val="zh-TW" w:eastAsia="zh-TW" w:bidi="zh-TW"/>
        </w:rPr>
        <w:t>、竞争性谈判文件、响应文件、澄清表（函）；</w:t>
      </w:r>
    </w:p>
    <w:p>
      <w:pPr>
        <w:tabs>
          <w:tab w:val="left" w:pos="1419"/>
        </w:tabs>
        <w:ind w:firstLine="420"/>
        <w:rPr>
          <w:rFonts w:cs="宋体" w:asciiTheme="minorEastAsia" w:hAnsiTheme="minorEastAsia" w:eastAsiaTheme="minorEastAsia"/>
          <w:sz w:val="21"/>
          <w:szCs w:val="21"/>
          <w:lang w:val="zh-TW" w:eastAsia="zh-TW" w:bidi="zh-TW"/>
        </w:rPr>
      </w:pPr>
      <w:bookmarkStart w:id="36" w:name="bookmark41"/>
      <w:r>
        <w:rPr>
          <w:rFonts w:hint="eastAsia" w:cs="宋体" w:asciiTheme="minorEastAsia" w:hAnsiTheme="minorEastAsia" w:eastAsiaTheme="minorEastAsia"/>
          <w:sz w:val="21"/>
          <w:szCs w:val="21"/>
          <w:lang w:val="zh-TW" w:eastAsia="zh-TW" w:bidi="zh-TW"/>
        </w:rPr>
        <w:t>2</w:t>
      </w:r>
      <w:bookmarkEnd w:id="36"/>
      <w:r>
        <w:rPr>
          <w:rFonts w:hint="eastAsia" w:cs="宋体" w:asciiTheme="minorEastAsia" w:hAnsiTheme="minorEastAsia" w:eastAsiaTheme="minorEastAsia"/>
          <w:sz w:val="21"/>
          <w:szCs w:val="21"/>
          <w:lang w:val="zh-TW" w:eastAsia="zh-TW" w:bidi="zh-TW"/>
        </w:rPr>
        <w:t>、本合同及附件文本；</w:t>
      </w:r>
    </w:p>
    <w:p>
      <w:pPr>
        <w:tabs>
          <w:tab w:val="left" w:pos="1419"/>
        </w:tabs>
        <w:ind w:firstLine="420"/>
        <w:rPr>
          <w:rFonts w:cs="宋体" w:asciiTheme="minorEastAsia" w:hAnsiTheme="minorEastAsia" w:eastAsiaTheme="minorEastAsia"/>
          <w:sz w:val="21"/>
          <w:szCs w:val="21"/>
          <w:lang w:val="zh-TW" w:eastAsia="zh-TW" w:bidi="zh-TW"/>
        </w:rPr>
      </w:pPr>
      <w:bookmarkStart w:id="37" w:name="bookmark42"/>
      <w:r>
        <w:rPr>
          <w:rFonts w:hint="eastAsia" w:cs="宋体" w:asciiTheme="minorEastAsia" w:hAnsiTheme="minorEastAsia" w:eastAsiaTheme="minorEastAsia"/>
          <w:sz w:val="21"/>
          <w:szCs w:val="21"/>
          <w:lang w:val="zh-TW" w:eastAsia="zh-TW" w:bidi="zh-TW"/>
        </w:rPr>
        <w:t>3</w:t>
      </w:r>
      <w:bookmarkEnd w:id="37"/>
      <w:r>
        <w:rPr>
          <w:rFonts w:hint="eastAsia" w:cs="宋体" w:asciiTheme="minorEastAsia" w:hAnsiTheme="minorEastAsia" w:eastAsiaTheme="minorEastAsia"/>
          <w:sz w:val="21"/>
          <w:szCs w:val="21"/>
          <w:lang w:val="zh-TW" w:eastAsia="zh-TW" w:bidi="zh-TW"/>
        </w:rPr>
        <w:t>、合同签订时国家及行业现行的标准和技术规范。</w:t>
      </w:r>
    </w:p>
    <w:p>
      <w:pPr>
        <w:tabs>
          <w:tab w:val="left" w:pos="1410"/>
        </w:tabs>
        <w:ind w:firstLine="420"/>
        <w:rPr>
          <w:rFonts w:cs="宋体" w:asciiTheme="minorEastAsia" w:hAnsiTheme="minorEastAsia" w:eastAsiaTheme="minorEastAsia"/>
          <w:sz w:val="21"/>
          <w:szCs w:val="21"/>
          <w:lang w:val="zh-TW" w:eastAsia="zh-TW" w:bidi="zh-TW"/>
        </w:rPr>
      </w:pPr>
      <w:bookmarkStart w:id="38" w:name="bookmark43"/>
      <w:r>
        <w:rPr>
          <w:rFonts w:hint="eastAsia" w:cs="宋体" w:asciiTheme="minorEastAsia" w:hAnsiTheme="minorEastAsia" w:eastAsiaTheme="minorEastAsia"/>
          <w:sz w:val="21"/>
          <w:szCs w:val="21"/>
          <w:lang w:val="zh-TW" w:eastAsia="zh-TW" w:bidi="zh-TW"/>
        </w:rPr>
        <w:t>（</w:t>
      </w:r>
      <w:bookmarkEnd w:id="38"/>
      <w:r>
        <w:rPr>
          <w:rFonts w:hint="eastAsia" w:cs="宋体" w:asciiTheme="minorEastAsia" w:hAnsiTheme="minorEastAsia" w:eastAsiaTheme="minorEastAsia"/>
          <w:sz w:val="21"/>
          <w:szCs w:val="21"/>
          <w:lang w:val="zh-TW" w:eastAsia="zh-TW" w:bidi="zh-TW"/>
        </w:rPr>
        <w:t>五）乙方应向甲方提交项目实施过程中的所有资料，以便甲方日后管理和维护。</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产品</w:t>
      </w:r>
      <w:r>
        <w:rPr>
          <w:rFonts w:hint="eastAsia" w:cs="宋体" w:asciiTheme="minorEastAsia" w:hAnsiTheme="minorEastAsia" w:eastAsiaTheme="minorEastAsia"/>
          <w:sz w:val="21"/>
          <w:szCs w:val="21"/>
          <w:lang w:val="zh-TW" w:bidi="zh-TW"/>
        </w:rPr>
        <w:t>必须符合</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bidi="zh-TW"/>
        </w:rPr>
        <w:t>文件、采购合同以及国家规定的质量标准。</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bidi="zh-TW"/>
        </w:rPr>
        <w:t>基本要求</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1）货物为全新产品，无污染，无侵权行为、表面无划损、无任何缺陷隐患，在中国境内可依规安全合法使用。</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2）交付验收基本标准</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3）验收由甲乙双方及相关人员依国家有关标准、合同及有关附件要求进行。乙方须为验收提供必需的相关条件及一切费用。</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4）技术资料</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1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①</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交货时，乙方应同时交付产品使用手册、质量检验证书（合格证）等相关资料。</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2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②</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验收后，乙方应向甲方提供验收报告。</w:t>
      </w:r>
    </w:p>
    <w:p>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乙方必须保证提供全新的、完整的、安全可靠的产品。严禁提供旧货翻新或假冒伪劣产品或次品、残品。并且全部货物没有设计、材料或工艺上的缺陷。须提供厂家出具的合格证书、国家实行生产许可的应提交生产许可证，国家实行强制认证的应提交强制认证证书，国家实行计量检测认证的应提交计量检测体系合格证书。货物的技术参数及配置情况必须由乙方提供国家相关检测机构出具的检验报告、生产厂家公开发布的印刷资料等技术资料予以支持。</w:t>
      </w:r>
    </w:p>
    <w:p>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九、售后服务</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乙方提供以下售后服务：</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质保期：</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，若该质量保证期小于国家标准，则以国家标准为准。产品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终身维修。</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质保期内</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售后服务必须有保障，在规定或承诺时间范围内排除故障并解决问题，在节假日期间、售后放假休息时间、工休等期间需提前告知甲方或制定应急预案，但无论何种因素，乙方均必须保证售后服务及时，确保货物在免费质保期内正常使用。</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凡</w:t>
      </w:r>
      <w:r>
        <w:rPr>
          <w:rFonts w:hint="eastAsia" w:cs="宋体" w:asciiTheme="minorEastAsia" w:hAnsiTheme="minorEastAsia" w:eastAsiaTheme="minorEastAsia"/>
          <w:sz w:val="21"/>
          <w:szCs w:val="21"/>
          <w:lang w:bidi="zh-TW"/>
        </w:rPr>
        <w:t>产品</w:t>
      </w:r>
      <w:r>
        <w:rPr>
          <w:rFonts w:hint="eastAsia" w:cs="宋体" w:asciiTheme="minorEastAsia" w:hAnsiTheme="minorEastAsia" w:eastAsiaTheme="minorEastAsia"/>
          <w:sz w:val="21"/>
          <w:szCs w:val="21"/>
          <w:lang w:val="zh-TW" w:eastAsia="zh-TW" w:bidi="zh-TW"/>
        </w:rPr>
        <w:t>发生质量问题或出现其他故障，接到甲方通知后，服务响应时间不超过</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小时，</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小时内派专业维修人员到达现场，</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小时内排除故障。排除故障的期限最长不得超过两个工作日，若不能按期排除故障，乙方应能够提供</w:t>
      </w:r>
      <w:r>
        <w:rPr>
          <w:rFonts w:hint="eastAsia" w:cs="宋体" w:asciiTheme="minorEastAsia" w:hAnsiTheme="minorEastAsia" w:eastAsiaTheme="minorEastAsia"/>
          <w:sz w:val="21"/>
          <w:szCs w:val="21"/>
          <w:lang w:bidi="zh-TW"/>
        </w:rPr>
        <w:t>其他设备</w:t>
      </w:r>
      <w:r>
        <w:rPr>
          <w:rFonts w:hint="eastAsia" w:cs="宋体" w:asciiTheme="minorEastAsia" w:hAnsiTheme="minorEastAsia" w:eastAsiaTheme="minorEastAsia"/>
          <w:sz w:val="21"/>
          <w:szCs w:val="21"/>
          <w:lang w:val="zh-TW" w:eastAsia="zh-TW" w:bidi="zh-TW"/>
        </w:rPr>
        <w:t>代用，不得因此影响甲方正常工作。</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免费提供每周</w:t>
      </w:r>
      <w:r>
        <w:rPr>
          <w:rFonts w:hint="eastAsia" w:cs="宋体" w:asciiTheme="minorEastAsia" w:hAnsiTheme="minorEastAsia" w:eastAsiaTheme="minorEastAsia"/>
          <w:sz w:val="21"/>
          <w:szCs w:val="21"/>
          <w:u w:val="single"/>
          <w:lang w:bidi="zh-TW"/>
        </w:rPr>
        <w:t>7x24</w:t>
      </w:r>
      <w:r>
        <w:rPr>
          <w:rFonts w:hint="eastAsia" w:cs="宋体" w:asciiTheme="minorEastAsia" w:hAnsiTheme="minorEastAsia" w:eastAsiaTheme="minorEastAsia"/>
          <w:sz w:val="21"/>
          <w:szCs w:val="21"/>
          <w:lang w:val="zh-TW" w:eastAsia="zh-TW" w:bidi="zh-TW"/>
        </w:rPr>
        <w:t>小时不间断的电话支持服务,解答用户在使用过程中遇到的问题，及时提出解决问题的建议和对策。</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、定期派专业维修人员到现场走访，给予检查维护。并向甲方提供巡检单（一式两份，由双方签字确认），内容包含但不限于巡检时间、巡检内容、巡检结果。</w:t>
      </w:r>
    </w:p>
    <w:p>
      <w:pPr>
        <w:tabs>
          <w:tab w:val="left" w:pos="1418"/>
        </w:tabs>
        <w:ind w:firstLine="420"/>
        <w:rPr>
          <w:rFonts w:cs="宋体" w:asciiTheme="minorEastAsia" w:hAnsiTheme="minorEastAsia" w:eastAsiaTheme="minorEastAsia"/>
          <w:sz w:val="21"/>
          <w:szCs w:val="21"/>
          <w:lang w:val="zh-TW" w:eastAsia="zh-TW" w:bidi="zh-TW"/>
        </w:rPr>
      </w:pPr>
      <w:bookmarkStart w:id="39" w:name="bookmark50"/>
      <w:r>
        <w:rPr>
          <w:rFonts w:hint="eastAsia" w:cs="宋体" w:asciiTheme="minorEastAsia" w:hAnsiTheme="minorEastAsia" w:eastAsiaTheme="minorEastAsia"/>
          <w:sz w:val="21"/>
          <w:szCs w:val="21"/>
          <w:lang w:val="zh-TW" w:eastAsia="zh-TW" w:bidi="zh-TW"/>
        </w:rPr>
        <w:t>（</w:t>
      </w:r>
      <w:bookmarkEnd w:id="39"/>
      <w:r>
        <w:rPr>
          <w:rFonts w:hint="eastAsia" w:cs="宋体" w:asciiTheme="minorEastAsia" w:hAnsiTheme="minorEastAsia" w:eastAsiaTheme="minorEastAsia"/>
          <w:sz w:val="21"/>
          <w:szCs w:val="21"/>
          <w:lang w:val="zh-TW" w:eastAsia="zh-TW" w:bidi="zh-TW"/>
        </w:rPr>
        <w:t>二）质保期满后</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乙方应保证</w:t>
      </w:r>
      <w:r>
        <w:rPr>
          <w:rFonts w:hint="eastAsia" w:cs="宋体" w:asciiTheme="minorEastAsia" w:hAnsiTheme="minorEastAsia" w:eastAsiaTheme="minorEastAsia"/>
          <w:sz w:val="21"/>
          <w:szCs w:val="21"/>
          <w:lang w:bidi="zh-TW"/>
        </w:rPr>
        <w:t>对</w:t>
      </w:r>
      <w:r>
        <w:rPr>
          <w:rFonts w:hint="eastAsia" w:cs="宋体" w:asciiTheme="minorEastAsia" w:hAnsiTheme="minorEastAsia" w:eastAsiaTheme="minorEastAsia"/>
          <w:sz w:val="21"/>
          <w:szCs w:val="21"/>
          <w:lang w:val="zh-TW" w:eastAsia="zh-TW" w:bidi="zh-TW"/>
        </w:rPr>
        <w:t>货物终身维修，维修时只收取部件成本费（免工时费），当发生故障时，乙方应按质保期内相同的服务标准进行维护处理。</w:t>
      </w:r>
    </w:p>
    <w:p>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技术</w:t>
      </w:r>
      <w:r>
        <w:rPr>
          <w:rFonts w:hint="eastAsia" w:cs="宋体" w:asciiTheme="minorEastAsia" w:hAnsiTheme="minorEastAsia" w:eastAsiaTheme="minorEastAsia"/>
          <w:b/>
          <w:bCs/>
          <w:sz w:val="21"/>
          <w:szCs w:val="21"/>
          <w:lang w:val="zh-TW" w:eastAsia="zh-TW" w:bidi="zh-TW"/>
        </w:rPr>
        <w:t>与服务</w:t>
      </w:r>
    </w:p>
    <w:p>
      <w:pPr>
        <w:ind w:firstLine="420"/>
        <w:rPr>
          <w:rFonts w:cs="宋体" w:asciiTheme="minorEastAsia" w:hAnsiTheme="minorEastAsia" w:eastAsiaTheme="minorEastAsia"/>
          <w:sz w:val="21"/>
          <w:szCs w:val="21"/>
          <w:lang w:val="zh-TW" w:eastAsia="zh-TW" w:bidi="zh-TW"/>
        </w:rPr>
      </w:pPr>
      <w:bookmarkStart w:id="40" w:name="bookmark53"/>
      <w:r>
        <w:rPr>
          <w:rFonts w:hint="eastAsia" w:cs="宋体" w:asciiTheme="minorEastAsia" w:hAnsiTheme="minorEastAsia" w:eastAsiaTheme="minorEastAsia"/>
          <w:sz w:val="21"/>
          <w:szCs w:val="21"/>
          <w:lang w:val="zh-TW" w:eastAsia="zh-TW" w:bidi="zh-TW"/>
        </w:rPr>
        <w:t>（</w:t>
      </w:r>
      <w:bookmarkEnd w:id="40"/>
      <w:r>
        <w:rPr>
          <w:rFonts w:hint="eastAsia" w:cs="宋体" w:asciiTheme="minorEastAsia" w:hAnsiTheme="minorEastAsia" w:eastAsiaTheme="minorEastAsia"/>
          <w:sz w:val="21"/>
          <w:szCs w:val="21"/>
          <w:lang w:val="zh-TW" w:eastAsia="zh-TW" w:bidi="zh-TW"/>
        </w:rPr>
        <w:t>一）技术资料</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合格证；</w:t>
      </w:r>
    </w:p>
    <w:p>
      <w:pPr>
        <w:ind w:firstLine="420"/>
        <w:rPr>
          <w:rFonts w:cs="宋体" w:asciiTheme="minorEastAsia" w:hAnsiTheme="minorEastAsia" w:eastAsiaTheme="minorEastAsia"/>
          <w:sz w:val="21"/>
          <w:szCs w:val="21"/>
          <w:lang w:val="zh-TW" w:eastAsia="zh-TW" w:bidi="zh-TW"/>
        </w:rPr>
      </w:pPr>
      <w:bookmarkStart w:id="41" w:name="bookmark55"/>
      <w:r>
        <w:rPr>
          <w:rFonts w:hint="eastAsia" w:cs="宋体" w:asciiTheme="minorEastAsia" w:hAnsiTheme="minorEastAsia" w:eastAsiaTheme="minorEastAsia"/>
          <w:sz w:val="21"/>
          <w:szCs w:val="21"/>
          <w:lang w:val="zh-TW" w:eastAsia="zh-TW" w:bidi="zh-TW"/>
        </w:rPr>
        <w:t>2</w:t>
      </w:r>
      <w:bookmarkEnd w:id="41"/>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技术参数；</w:t>
      </w:r>
    </w:p>
    <w:p>
      <w:pPr>
        <w:ind w:firstLine="420"/>
        <w:rPr>
          <w:rFonts w:cs="宋体" w:asciiTheme="minorEastAsia" w:hAnsiTheme="minorEastAsia" w:eastAsiaTheme="minorEastAsia"/>
          <w:sz w:val="21"/>
          <w:szCs w:val="21"/>
          <w:lang w:val="zh-TW" w:eastAsia="zh-TW" w:bidi="zh-TW"/>
        </w:rPr>
      </w:pPr>
      <w:bookmarkStart w:id="42" w:name="bookmark56"/>
      <w:r>
        <w:rPr>
          <w:rFonts w:hint="eastAsia" w:cs="宋体" w:asciiTheme="minorEastAsia" w:hAnsiTheme="minorEastAsia" w:eastAsiaTheme="minorEastAsia"/>
          <w:sz w:val="21"/>
          <w:szCs w:val="21"/>
          <w:lang w:val="zh-TW" w:eastAsia="zh-TW" w:bidi="zh-TW"/>
        </w:rPr>
        <w:t>3</w:t>
      </w:r>
      <w:bookmarkEnd w:id="42"/>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使用维护说明书；</w:t>
      </w:r>
    </w:p>
    <w:p>
      <w:pPr>
        <w:ind w:firstLine="420"/>
        <w:rPr>
          <w:rFonts w:cs="宋体" w:asciiTheme="minorEastAsia" w:hAnsiTheme="minorEastAsia" w:eastAsiaTheme="minorEastAsia"/>
          <w:sz w:val="21"/>
          <w:szCs w:val="21"/>
          <w:lang w:val="zh-TW" w:eastAsia="zh-TW" w:bidi="zh-TW"/>
        </w:rPr>
      </w:pPr>
      <w:bookmarkStart w:id="43" w:name="bookmark57"/>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乙方按产生文件规定的时间向甲方提供使用货物的有关技术资料。</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5、</w:t>
      </w:r>
      <w:r>
        <w:rPr>
          <w:rFonts w:hint="eastAsia" w:cs="宋体" w:asciiTheme="minorEastAsia" w:hAnsiTheme="minorEastAsia" w:eastAsiaTheme="minorEastAsia"/>
          <w:sz w:val="21"/>
          <w:szCs w:val="21"/>
          <w:lang w:val="zh-TW" w:eastAsia="zh-TW" w:bidi="zh-TW"/>
        </w:rPr>
        <w:t>没有甲方事先书面同意，乙方不得将由甲方提供的有关合同或任何合同条文、规格、计划、图纸、样品或资料提供给与履行本合同无关的任何其他人。</w:t>
      </w:r>
    </w:p>
    <w:bookmarkEnd w:id="43"/>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6</w:t>
      </w:r>
      <w:r>
        <w:rPr>
          <w:rFonts w:hint="eastAsia" w:cs="宋体" w:asciiTheme="minorEastAsia" w:hAnsiTheme="minorEastAsia" w:eastAsiaTheme="minorEastAsia"/>
          <w:sz w:val="21"/>
          <w:szCs w:val="21"/>
          <w:lang w:val="zh-TW" w:eastAsia="zh-TW" w:bidi="zh-TW"/>
        </w:rPr>
        <w:t>、其它资料。</w:t>
      </w:r>
    </w:p>
    <w:p>
      <w:pPr>
        <w:tabs>
          <w:tab w:val="left" w:pos="1408"/>
        </w:tabs>
        <w:ind w:firstLine="420"/>
        <w:rPr>
          <w:rFonts w:cs="宋体" w:asciiTheme="minorEastAsia" w:hAnsiTheme="minorEastAsia" w:eastAsiaTheme="minorEastAsia"/>
          <w:sz w:val="21"/>
          <w:szCs w:val="21"/>
          <w:lang w:val="zh-TW" w:eastAsia="zh-TW" w:bidi="zh-TW"/>
        </w:rPr>
      </w:pPr>
      <w:bookmarkStart w:id="44" w:name="bookmark58"/>
      <w:r>
        <w:rPr>
          <w:rFonts w:hint="eastAsia" w:cs="宋体" w:asciiTheme="minorEastAsia" w:hAnsiTheme="minorEastAsia" w:eastAsiaTheme="minorEastAsia"/>
          <w:sz w:val="21"/>
          <w:szCs w:val="21"/>
          <w:lang w:val="zh-TW" w:eastAsia="zh-TW" w:bidi="zh-TW"/>
        </w:rPr>
        <w:t>（</w:t>
      </w:r>
      <w:bookmarkEnd w:id="44"/>
      <w:r>
        <w:rPr>
          <w:rFonts w:hint="eastAsia" w:cs="宋体" w:asciiTheme="minorEastAsia" w:hAnsiTheme="minorEastAsia" w:eastAsiaTheme="minorEastAsia"/>
          <w:sz w:val="21"/>
          <w:szCs w:val="21"/>
          <w:lang w:val="zh-TW" w:eastAsia="zh-TW" w:bidi="zh-TW"/>
        </w:rPr>
        <w:t>二）服务承诺</w:t>
      </w:r>
    </w:p>
    <w:p>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以响应文件、澄清表（函）、合同和随产品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的相关文件为准。</w:t>
      </w:r>
    </w:p>
    <w:p>
      <w:pPr>
        <w:tabs>
          <w:tab w:val="left" w:pos="1418"/>
        </w:tabs>
        <w:spacing w:after="40"/>
        <w:ind w:firstLine="420"/>
        <w:rPr>
          <w:rFonts w:cs="宋体" w:asciiTheme="minorEastAsia" w:hAnsiTheme="minorEastAsia" w:eastAsiaTheme="minorEastAsia"/>
          <w:sz w:val="21"/>
          <w:szCs w:val="21"/>
          <w:lang w:val="zh-TW" w:eastAsia="zh-TW" w:bidi="zh-TW"/>
        </w:rPr>
      </w:pPr>
      <w:bookmarkStart w:id="45" w:name="bookmark59"/>
      <w:r>
        <w:rPr>
          <w:rFonts w:hint="eastAsia" w:cs="宋体" w:asciiTheme="minorEastAsia" w:hAnsiTheme="minorEastAsia" w:eastAsiaTheme="minorEastAsia"/>
          <w:sz w:val="21"/>
          <w:szCs w:val="21"/>
          <w:lang w:val="zh-TW" w:eastAsia="zh-TW" w:bidi="zh-TW"/>
        </w:rPr>
        <w:t>（</w:t>
      </w:r>
      <w:bookmarkEnd w:id="45"/>
      <w:r>
        <w:rPr>
          <w:rFonts w:hint="eastAsia" w:cs="宋体" w:asciiTheme="minorEastAsia" w:hAnsiTheme="minorEastAsia" w:eastAsiaTheme="minorEastAsia"/>
          <w:sz w:val="21"/>
          <w:szCs w:val="21"/>
          <w:lang w:val="zh-TW" w:eastAsia="zh-TW" w:bidi="zh-TW"/>
        </w:rPr>
        <w:t>三）服务要求</w:t>
      </w:r>
    </w:p>
    <w:p>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所有设备均由乙方送货至甲方指定的交货地点并安装调试好，安装调试应以本需求书要求的技术参数指标为标准。</w:t>
      </w:r>
    </w:p>
    <w:p>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所有货物交货后的拆箱、安装、调试等项工作(包括其费用)由乙方负责，但必须在用户指定人员的参与下进行。调试的原始记录需经各方签字后作为验收的文件之一。</w:t>
      </w:r>
    </w:p>
    <w:p>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乙方应提供包括但不限于满足设备安装、使用和维护的技术文件。</w:t>
      </w:r>
    </w:p>
    <w:p>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应按出厂标准及国家有关要求进行包装及运输。</w:t>
      </w:r>
    </w:p>
    <w:p>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en-US"/>
        </w:rPr>
        <w:t>十一、违约</w:t>
      </w:r>
      <w:r>
        <w:rPr>
          <w:rFonts w:hint="eastAsia" w:cs="宋体" w:asciiTheme="minorEastAsia" w:hAnsiTheme="minorEastAsia" w:eastAsiaTheme="minorEastAsia"/>
          <w:b/>
          <w:bCs/>
          <w:sz w:val="21"/>
          <w:szCs w:val="21"/>
          <w:lang w:val="zh-TW" w:eastAsia="zh-TW" w:bidi="zh-TW"/>
        </w:rPr>
        <w:t>责任</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合同中未约定的，按《中华人民共和国民法典》中的相关条款执行。</w:t>
      </w:r>
    </w:p>
    <w:p>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（二）未按合同要求提供产品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或产品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质量不能满足合同要求，甲方应当将乙方违约的情况以及拟采取的措施以书面形式报政府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购监管部门，根据政府采购监管部门的处理意见，甲方有权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据《中华人民共和国民法典》有关条款及合同约定解除合同，乙方应向甲方支付合同总价款</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％的违约金。同时，政府采购监管部门有权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r>
        <w:rPr>
          <w:rFonts w:hint="eastAsia" w:cs="宋体" w:asciiTheme="minorEastAsia" w:hAnsiTheme="minorEastAsia" w:eastAsiaTheme="minorEastAsia"/>
          <w:sz w:val="21"/>
          <w:szCs w:val="21"/>
          <w:lang w:val="en-US" w:eastAsia="zh-CN" w:bidi="zh-TW"/>
        </w:rPr>
        <w:t>中华人民共和国</w:t>
      </w:r>
      <w:bookmarkStart w:id="58" w:name="_GoBack"/>
      <w:bookmarkEnd w:id="58"/>
      <w:r>
        <w:rPr>
          <w:rFonts w:hint="eastAsia" w:cs="宋体" w:asciiTheme="minorEastAsia" w:hAnsiTheme="minorEastAsia" w:eastAsiaTheme="minorEastAsia"/>
          <w:sz w:val="21"/>
          <w:szCs w:val="21"/>
          <w:lang w:val="zh-TW" w:eastAsia="zh-TW" w:bidi="zh-TW"/>
        </w:rPr>
        <w:t>政府采购法》及相关法律法规对乙方的违法行为进行相应的处罚。</w:t>
      </w:r>
    </w:p>
    <w:p>
      <w:pPr>
        <w:tabs>
          <w:tab w:val="left" w:pos="1438"/>
        </w:tabs>
        <w:ind w:firstLine="420"/>
        <w:rPr>
          <w:rFonts w:cs="宋体" w:asciiTheme="minorEastAsia" w:hAnsiTheme="minorEastAsia" w:eastAsiaTheme="minorEastAsia"/>
          <w:sz w:val="21"/>
          <w:szCs w:val="21"/>
          <w:lang w:val="zh-TW" w:eastAsia="zh-TW" w:bidi="zh-TW"/>
        </w:rPr>
      </w:pPr>
      <w:bookmarkStart w:id="46" w:name="bookmark60"/>
      <w:r>
        <w:rPr>
          <w:rFonts w:hint="eastAsia" w:cs="宋体" w:asciiTheme="minorEastAsia" w:hAnsiTheme="minorEastAsia" w:eastAsiaTheme="minorEastAsia"/>
          <w:sz w:val="21"/>
          <w:szCs w:val="21"/>
          <w:lang w:val="zh-TW" w:eastAsia="zh-TW" w:bidi="zh-TW"/>
        </w:rPr>
        <w:t>（</w:t>
      </w:r>
      <w:bookmarkEnd w:id="46"/>
      <w:r>
        <w:rPr>
          <w:rFonts w:hint="eastAsia" w:cs="宋体" w:asciiTheme="minorEastAsia" w:hAnsiTheme="minorEastAsia" w:eastAsiaTheme="minorEastAsia"/>
          <w:sz w:val="21"/>
          <w:szCs w:val="21"/>
          <w:lang w:val="zh-TW" w:eastAsia="zh-TW" w:bidi="zh-TW"/>
        </w:rPr>
        <w:t>三）乙方逾期交付产品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的（包括返修、更换、补交等），应当自逾期之日起每日按逾期交付部分价款总额的</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%向甲方支付违约金。若因乙方原因逾期交货超过</w:t>
      </w:r>
    </w:p>
    <w:p>
      <w:pPr>
        <w:tabs>
          <w:tab w:val="left" w:pos="1448"/>
          <w:tab w:val="left" w:pos="3629"/>
          <w:tab w:val="left" w:pos="6144"/>
        </w:tabs>
        <w:ind w:firstLine="0" w:firstLineChars="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天的，甲方有权拒收并解除本合同，且乙方应向甲方支付合同总价款</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%的违约金。</w:t>
      </w:r>
    </w:p>
    <w:p>
      <w:pPr>
        <w:tabs>
          <w:tab w:val="left" w:pos="1448"/>
        </w:tabs>
        <w:ind w:firstLine="420"/>
        <w:rPr>
          <w:rFonts w:cs="宋体" w:asciiTheme="minorEastAsia" w:hAnsiTheme="minorEastAsia" w:eastAsiaTheme="minorEastAsia"/>
          <w:sz w:val="21"/>
          <w:szCs w:val="21"/>
          <w:lang w:val="zh-TW" w:eastAsia="zh-TW" w:bidi="zh-TW"/>
        </w:rPr>
      </w:pPr>
      <w:bookmarkStart w:id="47" w:name="bookmark62"/>
      <w:r>
        <w:rPr>
          <w:rFonts w:hint="eastAsia" w:cs="宋体" w:asciiTheme="minorEastAsia" w:hAnsiTheme="minorEastAsia" w:eastAsiaTheme="minorEastAsia"/>
          <w:sz w:val="21"/>
          <w:szCs w:val="21"/>
          <w:lang w:val="zh-TW" w:eastAsia="zh-TW" w:bidi="zh-TW"/>
        </w:rPr>
        <w:t>（</w:t>
      </w:r>
      <w:bookmarkEnd w:id="47"/>
      <w:r>
        <w:rPr>
          <w:rFonts w:hint="eastAsia" w:cs="宋体" w:asciiTheme="minorEastAsia" w:hAnsiTheme="minorEastAsia" w:eastAsiaTheme="minorEastAsia"/>
          <w:sz w:val="21"/>
          <w:szCs w:val="21"/>
          <w:lang w:bidi="zh-TW"/>
        </w:rPr>
        <w:t>四</w:t>
      </w:r>
      <w:r>
        <w:rPr>
          <w:rFonts w:hint="eastAsia" w:cs="宋体" w:asciiTheme="minorEastAsia" w:hAnsiTheme="minorEastAsia" w:eastAsiaTheme="minorEastAsia"/>
          <w:sz w:val="21"/>
          <w:szCs w:val="21"/>
          <w:lang w:val="zh-TW" w:eastAsia="zh-TW" w:bidi="zh-TW"/>
        </w:rPr>
        <w:t>）如乙方所交的产品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经甲方验收不符合合同约定或规定标准的，甲方有权拒收，乙方应当在甲方指定期限内更换，由此导致乙方逾期交货的，乙方还应承担逾期交货的违约责任。</w:t>
      </w:r>
    </w:p>
    <w:p>
      <w:pPr>
        <w:tabs>
          <w:tab w:val="left" w:pos="1438"/>
        </w:tabs>
        <w:ind w:firstLine="420"/>
        <w:rPr>
          <w:rFonts w:cs="宋体" w:asciiTheme="minorEastAsia" w:hAnsiTheme="minorEastAsia" w:eastAsiaTheme="minorEastAsia"/>
          <w:sz w:val="21"/>
          <w:szCs w:val="21"/>
          <w:lang w:val="zh-TW" w:eastAsia="zh-TW" w:bidi="zh-TW"/>
        </w:rPr>
      </w:pPr>
      <w:bookmarkStart w:id="48" w:name="bookmark63"/>
      <w:r>
        <w:rPr>
          <w:rFonts w:hint="eastAsia" w:cs="宋体" w:asciiTheme="minorEastAsia" w:hAnsiTheme="minorEastAsia" w:eastAsiaTheme="minorEastAsia"/>
          <w:sz w:val="21"/>
          <w:szCs w:val="21"/>
          <w:lang w:val="zh-TW" w:eastAsia="zh-TW" w:bidi="zh-TW"/>
        </w:rPr>
        <w:t>（</w:t>
      </w:r>
      <w:bookmarkEnd w:id="48"/>
      <w:r>
        <w:rPr>
          <w:rFonts w:hint="eastAsia" w:cs="宋体" w:asciiTheme="minorEastAsia" w:hAnsiTheme="minorEastAsia" w:eastAsiaTheme="minorEastAsia"/>
          <w:sz w:val="21"/>
          <w:szCs w:val="21"/>
          <w:lang w:bidi="zh-TW"/>
        </w:rPr>
        <w:t>五</w:t>
      </w:r>
      <w:r>
        <w:rPr>
          <w:rFonts w:hint="eastAsia" w:cs="宋体" w:asciiTheme="minorEastAsia" w:hAnsiTheme="minorEastAsia" w:eastAsiaTheme="minorEastAsia"/>
          <w:sz w:val="21"/>
          <w:szCs w:val="21"/>
          <w:lang w:val="zh-TW" w:eastAsia="zh-TW" w:bidi="zh-TW"/>
        </w:rPr>
        <w:t>）本合同中各条款约定的违约金可自甲方未支付款项中直接扣除，违约金若不能弥补甲方损失的，乙方还应赔偿甲方损失。</w:t>
      </w:r>
    </w:p>
    <w:p>
      <w:pPr>
        <w:ind w:firstLine="422"/>
        <w:rPr>
          <w:rFonts w:cs="宋体" w:asciiTheme="minorEastAsia" w:hAnsiTheme="minorEastAsia" w:eastAsiaTheme="minorEastAsia"/>
          <w:b/>
          <w:bCs/>
          <w:sz w:val="21"/>
          <w:szCs w:val="21"/>
          <w:lang w:bidi="zh-TW"/>
        </w:rPr>
      </w:pPr>
      <w:r>
        <w:rPr>
          <w:rFonts w:hint="eastAsia" w:cs="宋体" w:asciiTheme="minorEastAsia" w:hAnsiTheme="minorEastAsia" w:eastAsiaTheme="minorEastAsia"/>
          <w:b/>
          <w:bCs/>
          <w:sz w:val="21"/>
          <w:szCs w:val="21"/>
          <w:lang w:val="zh-TW" w:eastAsia="zh-TW" w:bidi="zh-TW"/>
        </w:rPr>
        <w:t>十二、</w:t>
      </w:r>
      <w:r>
        <w:rPr>
          <w:rFonts w:hint="eastAsia" w:cs="宋体" w:asciiTheme="minorEastAsia" w:hAnsiTheme="minorEastAsia" w:eastAsiaTheme="minorEastAsia"/>
          <w:b/>
          <w:bCs/>
          <w:sz w:val="21"/>
          <w:szCs w:val="21"/>
          <w:lang w:bidi="zh-TW"/>
        </w:rPr>
        <w:t>争议解决</w:t>
      </w:r>
    </w:p>
    <w:p>
      <w:pPr>
        <w:tabs>
          <w:tab w:val="left" w:pos="1429"/>
        </w:tabs>
        <w:spacing w:after="100"/>
        <w:ind w:firstLine="420"/>
        <w:rPr>
          <w:rFonts w:cs="宋体" w:asciiTheme="minorEastAsia" w:hAnsiTheme="minorEastAsia" w:eastAsiaTheme="minorEastAsia"/>
          <w:sz w:val="21"/>
          <w:szCs w:val="21"/>
          <w:lang w:val="zh-TW" w:eastAsia="zh-TW" w:bidi="zh-TW"/>
        </w:rPr>
      </w:pPr>
      <w:bookmarkStart w:id="49" w:name="bookmark65"/>
      <w:r>
        <w:rPr>
          <w:rFonts w:hint="eastAsia" w:cs="宋体" w:asciiTheme="minorEastAsia" w:hAnsiTheme="minorEastAsia" w:eastAsiaTheme="minorEastAsia"/>
          <w:sz w:val="21"/>
          <w:szCs w:val="21"/>
          <w:lang w:val="zh-TW" w:eastAsia="zh-TW" w:bidi="zh-TW"/>
        </w:rPr>
        <w:t>（</w:t>
      </w:r>
      <w:bookmarkEnd w:id="49"/>
      <w:r>
        <w:rPr>
          <w:rFonts w:hint="eastAsia" w:cs="宋体" w:asciiTheme="minorEastAsia" w:hAnsiTheme="minorEastAsia" w:eastAsiaTheme="minorEastAsia"/>
          <w:sz w:val="21"/>
          <w:szCs w:val="21"/>
          <w:lang w:val="zh-TW" w:eastAsia="zh-TW" w:bidi="zh-TW"/>
        </w:rPr>
        <w:t>一）本合同在履行过程中发生的争议，由甲、乙双方当事人协商解决，协商不成的按下列第</w:t>
      </w:r>
      <w:r>
        <w:rPr>
          <w:rFonts w:hint="eastAsia" w:cs="宋体" w:asciiTheme="minorEastAsia" w:hAnsiTheme="minorEastAsia" w:eastAsiaTheme="minorEastAsia"/>
          <w:sz w:val="21"/>
          <w:szCs w:val="21"/>
          <w:u w:val="single"/>
          <w:lang w:bidi="zh-TW"/>
        </w:rPr>
        <w:t xml:space="preserve"> 2  </w:t>
      </w:r>
      <w:r>
        <w:rPr>
          <w:rFonts w:hint="eastAsia" w:cs="宋体" w:asciiTheme="minorEastAsia" w:hAnsiTheme="minorEastAsia" w:eastAsiaTheme="minorEastAsia"/>
          <w:sz w:val="21"/>
          <w:szCs w:val="21"/>
          <w:lang w:val="zh-TW" w:eastAsia="zh-TW" w:bidi="zh-TW"/>
        </w:rPr>
        <w:t>种方式解决：</w:t>
      </w:r>
    </w:p>
    <w:p>
      <w:pPr>
        <w:tabs>
          <w:tab w:val="left" w:pos="1438"/>
        </w:tabs>
        <w:ind w:firstLine="420"/>
        <w:rPr>
          <w:rFonts w:cs="宋体" w:asciiTheme="minorEastAsia" w:hAnsiTheme="minorEastAsia" w:eastAsiaTheme="minorEastAsia"/>
          <w:sz w:val="21"/>
          <w:szCs w:val="21"/>
          <w:lang w:val="zh-TW" w:eastAsia="zh-TW" w:bidi="zh-TW"/>
        </w:rPr>
      </w:pPr>
      <w:bookmarkStart w:id="50" w:name="bookmark66"/>
      <w:r>
        <w:rPr>
          <w:rFonts w:hint="eastAsia" w:cs="宋体" w:asciiTheme="minorEastAsia" w:hAnsiTheme="minorEastAsia" w:eastAsiaTheme="minorEastAsia"/>
          <w:sz w:val="21"/>
          <w:szCs w:val="21"/>
          <w:lang w:val="zh-TW" w:eastAsia="zh-TW" w:bidi="zh-TW"/>
        </w:rPr>
        <w:t>1</w:t>
      </w:r>
      <w:bookmarkEnd w:id="50"/>
      <w:r>
        <w:rPr>
          <w:rFonts w:hint="eastAsia" w:cs="宋体" w:asciiTheme="minorEastAsia" w:hAnsiTheme="minorEastAsia" w:eastAsiaTheme="minorEastAsia"/>
          <w:sz w:val="21"/>
          <w:szCs w:val="21"/>
          <w:lang w:val="zh-TW" w:eastAsia="zh-TW" w:bidi="zh-TW"/>
        </w:rPr>
        <w:t>、提交西安仲裁委员会仲裁；</w:t>
      </w:r>
    </w:p>
    <w:p>
      <w:pPr>
        <w:tabs>
          <w:tab w:val="left" w:pos="1438"/>
        </w:tabs>
        <w:ind w:firstLine="420"/>
        <w:rPr>
          <w:rFonts w:cs="宋体" w:asciiTheme="minorEastAsia" w:hAnsiTheme="minorEastAsia" w:eastAsiaTheme="minorEastAsia"/>
          <w:sz w:val="21"/>
          <w:szCs w:val="21"/>
          <w:lang w:val="zh-TW" w:eastAsia="zh-TW" w:bidi="zh-TW"/>
        </w:rPr>
      </w:pPr>
      <w:bookmarkStart w:id="51" w:name="bookmark67"/>
      <w:bookmarkEnd w:id="51"/>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法向甲方所在地人民法院起诉。</w:t>
      </w:r>
    </w:p>
    <w:p>
      <w:pPr>
        <w:tabs>
          <w:tab w:val="left" w:pos="1429"/>
        </w:tabs>
        <w:ind w:firstLine="420"/>
        <w:rPr>
          <w:rFonts w:cs="宋体" w:asciiTheme="minorEastAsia" w:hAnsiTheme="minorEastAsia" w:eastAsiaTheme="minorEastAsia"/>
          <w:sz w:val="21"/>
          <w:szCs w:val="21"/>
          <w:lang w:val="zh-TW" w:eastAsia="zh-TW" w:bidi="zh-TW"/>
        </w:rPr>
      </w:pPr>
      <w:bookmarkStart w:id="52" w:name="bookmark68"/>
      <w:r>
        <w:rPr>
          <w:rFonts w:hint="eastAsia" w:cs="宋体" w:asciiTheme="minorEastAsia" w:hAnsiTheme="minorEastAsia" w:eastAsiaTheme="minorEastAsia"/>
          <w:sz w:val="21"/>
          <w:szCs w:val="21"/>
          <w:lang w:val="zh-TW" w:eastAsia="zh-TW" w:bidi="zh-TW"/>
        </w:rPr>
        <w:t>（</w:t>
      </w:r>
      <w:bookmarkEnd w:id="52"/>
      <w:r>
        <w:rPr>
          <w:rFonts w:hint="eastAsia" w:cs="宋体" w:asciiTheme="minorEastAsia" w:hAnsiTheme="minorEastAsia" w:eastAsiaTheme="minorEastAsia"/>
          <w:sz w:val="21"/>
          <w:szCs w:val="21"/>
          <w:lang w:val="zh-TW" w:eastAsia="zh-TW" w:bidi="zh-TW"/>
        </w:rPr>
        <w:t>二）本条款为独立条款，本合同的无效、变更、解除和终止均不影响本条款的效力。</w:t>
      </w:r>
    </w:p>
    <w:p>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val="zh-TW" w:eastAsia="zh-TW" w:bidi="zh-TW"/>
        </w:rPr>
        <w:t>十</w:t>
      </w:r>
      <w:r>
        <w:rPr>
          <w:rFonts w:hint="eastAsia" w:cs="宋体" w:asciiTheme="minorEastAsia" w:hAnsiTheme="minorEastAsia" w:eastAsiaTheme="minorEastAsia"/>
          <w:b/>
          <w:bCs/>
          <w:kern w:val="0"/>
          <w:sz w:val="21"/>
          <w:szCs w:val="21"/>
          <w:lang w:bidi="zh-TW"/>
        </w:rPr>
        <w:t>三</w:t>
      </w:r>
      <w:r>
        <w:rPr>
          <w:rFonts w:hint="eastAsia" w:cs="宋体" w:asciiTheme="minorEastAsia" w:hAnsiTheme="minorEastAsia" w:eastAsiaTheme="minorEastAsia"/>
          <w:b/>
          <w:bCs/>
          <w:kern w:val="0"/>
          <w:sz w:val="21"/>
          <w:szCs w:val="21"/>
          <w:lang w:val="zh-TW" w:eastAsia="zh-TW" w:bidi="zh-TW"/>
        </w:rPr>
        <w:t>、</w:t>
      </w:r>
      <w:r>
        <w:rPr>
          <w:rFonts w:hint="eastAsia" w:cs="宋体" w:asciiTheme="minorEastAsia" w:hAnsiTheme="minorEastAsia" w:eastAsiaTheme="minorEastAsia"/>
          <w:b/>
          <w:bCs/>
          <w:kern w:val="0"/>
          <w:sz w:val="21"/>
          <w:szCs w:val="21"/>
          <w:lang w:bidi="zh-TW"/>
        </w:rPr>
        <w:t>合同纠纷处理</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因本合同或与本合同有关的一切事项发生争议，由双方友好协商解决。协商不成的，向</w:t>
      </w:r>
      <w:r>
        <w:rPr>
          <w:rFonts w:hint="eastAsia" w:cs="宋体" w:asciiTheme="minorEastAsia" w:hAnsiTheme="minorEastAsia" w:eastAsiaTheme="minorEastAsia"/>
          <w:sz w:val="21"/>
          <w:szCs w:val="21"/>
          <w:lang w:bidi="zh-TW"/>
        </w:rPr>
        <w:t>甲方所在地</w:t>
      </w:r>
      <w:r>
        <w:rPr>
          <w:rFonts w:hint="eastAsia" w:cs="宋体" w:asciiTheme="minorEastAsia" w:hAnsiTheme="minorEastAsia" w:eastAsiaTheme="minorEastAsia"/>
          <w:sz w:val="21"/>
          <w:szCs w:val="21"/>
          <w:lang w:val="zh-TW" w:eastAsia="zh-TW" w:bidi="zh-TW"/>
        </w:rPr>
        <w:t>人民法院提起诉讼。</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一方违约致使本合同的履行产生争议，守约方为解决争议所产生的公证费、律师费、保险公司出具保全费用、翻译费、通讯费、差旅费、文印费等合理费用由违约方负担。双方相互违约，有履约先后顺序的，负先履行义务一方负担所有争议解决费用；无履约先后顺序的，争议解决费用双方自行承担。</w:t>
      </w:r>
    </w:p>
    <w:p>
      <w:pPr>
        <w:ind w:firstLine="422"/>
        <w:rPr>
          <w:rFonts w:cs="宋体" w:asciiTheme="minorEastAsia" w:hAnsiTheme="minorEastAsia" w:eastAsiaTheme="minorEastAsia"/>
          <w:b/>
          <w:bCs/>
          <w:kern w:val="0"/>
          <w:sz w:val="21"/>
          <w:szCs w:val="21"/>
          <w:lang w:val="zh-TW" w:eastAsia="zh-TW" w:bidi="zh-TW"/>
        </w:rPr>
      </w:pPr>
      <w:r>
        <w:rPr>
          <w:rFonts w:hint="eastAsia" w:cs="宋体" w:asciiTheme="minorEastAsia" w:hAnsiTheme="minorEastAsia" w:eastAsiaTheme="minorEastAsia"/>
          <w:b/>
          <w:bCs/>
          <w:kern w:val="0"/>
          <w:sz w:val="21"/>
          <w:szCs w:val="21"/>
          <w:lang w:bidi="zh-TW"/>
        </w:rPr>
        <w:t>十四、</w:t>
      </w:r>
      <w:r>
        <w:rPr>
          <w:rFonts w:hint="eastAsia" w:cs="宋体" w:asciiTheme="minorEastAsia" w:hAnsiTheme="minorEastAsia" w:eastAsiaTheme="minorEastAsia"/>
          <w:b/>
          <w:bCs/>
          <w:kern w:val="0"/>
          <w:sz w:val="21"/>
          <w:szCs w:val="21"/>
          <w:lang w:val="zh-TW" w:eastAsia="zh-TW" w:bidi="zh-TW"/>
        </w:rPr>
        <w:t>违约解除合同</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在乙方违约的情况下，甲方可向乙方发出书面通知，部分或全部终止合同，同时保留向对方追诉的权利。</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乙方未能在合同规定的限期或甲方同意延长的限期内提供全部或部分货物，</w:t>
      </w:r>
      <w:r>
        <w:rPr>
          <w:rFonts w:hint="eastAsia" w:cs="宋体" w:asciiTheme="minorEastAsia" w:hAnsiTheme="minorEastAsia" w:eastAsiaTheme="minorEastAsia"/>
          <w:sz w:val="21"/>
          <w:szCs w:val="21"/>
          <w:lang w:bidi="zh-TW"/>
        </w:rPr>
        <w:t>甲方</w:t>
      </w:r>
      <w:r>
        <w:rPr>
          <w:rFonts w:hint="eastAsia" w:cs="宋体" w:asciiTheme="minorEastAsia" w:hAnsiTheme="minorEastAsia" w:eastAsiaTheme="minorEastAsia"/>
          <w:sz w:val="21"/>
          <w:szCs w:val="21"/>
          <w:lang w:val="zh-TW" w:eastAsia="zh-TW" w:bidi="zh-TW"/>
        </w:rPr>
        <w:t>可以解除合同的。</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乙方有转让和未经甲方同意的分包行为，可以解除合同的。</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乙方未能履行合同规定的其它主要义务的。</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在本合同履行过程中有腐败和欺诈行为的。</w:t>
      </w:r>
    </w:p>
    <w:p>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全部或部分解除合同之后，应当遵循诚实信用原则，全部或部分购买与未交付的货物类似的货物或服务，乙方应承担甲方购买类似货物或服务而产生的额外支出。部分解除合同的，乙方应继续履行合同中未解除的部分。</w:t>
      </w:r>
    </w:p>
    <w:p>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bidi="zh-TW"/>
        </w:rPr>
        <w:t>十五、索赔</w:t>
      </w:r>
    </w:p>
    <w:p>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 如果货物的质量、规格、数量、重量等与合同不符，或在质保期内证实货物存有缺陷，包括潜在的缺陷或使用不符合要求的材料等，甲方有权根据有资质的权威质检机构的检验结果向乙方提出索赔(但责任应由保险公司或运输部门承担的除外)。</w:t>
      </w:r>
    </w:p>
    <w:p>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在根据合同规定的检验期和质保期内，如果乙方对甲方提出的索赔负有责任，乙方应按照甲方同意的下列一种或多种方式解决索赔事宜：</w:t>
      </w:r>
    </w:p>
    <w:p>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甲方将货物款退还给乙方，乙方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根据货物低劣程度、损坏程度以及甲方所遭受损失的数额，经双方商定降低货物的价格，或由有权的部门评估，以降低后的价格或评估价格为准。</w:t>
      </w:r>
    </w:p>
    <w:p>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用符合规格、质量和性能要求的新零件、部件或货物来更换有缺陷的部分或修补缺陷部分，乙方承担一切费用和风险并负担甲方所发生的一切直接费用。同时，乙方应相应延长修补或更换件的免费质保期。</w:t>
      </w:r>
    </w:p>
    <w:p>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如果在甲方发出索赔通知后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日内，乙方未作答复，上述索赔应视为已被乙方接受。如乙方未能在甲方提出索赔通知后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日内或买方同意的更长时间内，按照本合同规定的任何一种方法解决索赔事宜，甲方将从合同款中扣回索赔金额。如果这些金额不足以补偿索赔金额，甲方有权向乙方提出不足部分的补偿。</w:t>
      </w:r>
    </w:p>
    <w:p>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六</w:t>
      </w:r>
      <w:r>
        <w:rPr>
          <w:rFonts w:hint="eastAsia" w:cs="宋体" w:asciiTheme="minorEastAsia" w:hAnsiTheme="minorEastAsia" w:eastAsiaTheme="minorEastAsia"/>
          <w:b/>
          <w:bCs/>
          <w:sz w:val="21"/>
          <w:szCs w:val="21"/>
          <w:lang w:val="zh-TW" w:eastAsia="zh-TW" w:bidi="zh-TW"/>
        </w:rPr>
        <w:t>、合同变更</w:t>
      </w:r>
    </w:p>
    <w:p>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pPr>
        <w:spacing w:after="40"/>
        <w:ind w:firstLine="422"/>
        <w:rPr>
          <w:rFonts w:cs="宋体" w:asciiTheme="minorEastAsia" w:hAnsiTheme="minorEastAsia" w:eastAsiaTheme="minorEastAsia"/>
          <w:b/>
          <w:bCs/>
          <w:sz w:val="21"/>
          <w:szCs w:val="21"/>
          <w:lang w:val="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七</w:t>
      </w:r>
      <w:r>
        <w:rPr>
          <w:rFonts w:hint="eastAsia" w:cs="宋体" w:asciiTheme="minorEastAsia" w:hAnsiTheme="minorEastAsia" w:eastAsiaTheme="minorEastAsia"/>
          <w:b/>
          <w:bCs/>
          <w:sz w:val="21"/>
          <w:szCs w:val="21"/>
          <w:lang w:val="zh-TW" w:eastAsia="zh-TW" w:bidi="zh-TW"/>
        </w:rPr>
        <w:t>、合同</w:t>
      </w:r>
      <w:r>
        <w:rPr>
          <w:rFonts w:hint="eastAsia" w:cs="宋体" w:asciiTheme="minorEastAsia" w:hAnsiTheme="minorEastAsia" w:eastAsiaTheme="minorEastAsia"/>
          <w:b/>
          <w:bCs/>
          <w:sz w:val="21"/>
          <w:szCs w:val="21"/>
          <w:lang w:bidi="zh-TW"/>
        </w:rPr>
        <w:t>生效</w:t>
      </w:r>
    </w:p>
    <w:p>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本合同一式</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份，甲方持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份，乙方持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份，本合同甲、乙各方签字并盖章后生效，合同执行完毕后，自动失效（合同的服务承诺则长期有效）。</w:t>
      </w:r>
    </w:p>
    <w:p>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zh-TW"/>
        </w:rPr>
        <w:t>十八、</w:t>
      </w:r>
      <w:r>
        <w:rPr>
          <w:rFonts w:hint="eastAsia" w:cs="宋体" w:asciiTheme="minorEastAsia" w:hAnsiTheme="minorEastAsia" w:eastAsiaTheme="minorEastAsia"/>
          <w:b/>
          <w:bCs/>
          <w:sz w:val="21"/>
          <w:szCs w:val="21"/>
          <w:lang w:val="zh-TW" w:eastAsia="zh-TW" w:bidi="zh-TW"/>
        </w:rPr>
        <w:t>其他事项</w:t>
      </w:r>
    </w:p>
    <w:p>
      <w:pPr>
        <w:tabs>
          <w:tab w:val="left" w:pos="1418"/>
        </w:tabs>
        <w:ind w:firstLine="420"/>
        <w:rPr>
          <w:rFonts w:cs="宋体" w:asciiTheme="minorEastAsia" w:hAnsiTheme="minorEastAsia" w:eastAsiaTheme="minorEastAsia"/>
          <w:sz w:val="21"/>
          <w:szCs w:val="21"/>
          <w:lang w:val="zh-TW" w:eastAsia="zh-TW" w:bidi="zh-TW"/>
        </w:rPr>
      </w:pPr>
      <w:bookmarkStart w:id="53" w:name="bookmark73"/>
      <w:r>
        <w:rPr>
          <w:rFonts w:hint="eastAsia" w:cs="宋体" w:asciiTheme="minorEastAsia" w:hAnsiTheme="minorEastAsia" w:eastAsiaTheme="minorEastAsia"/>
          <w:sz w:val="21"/>
          <w:szCs w:val="21"/>
          <w:lang w:val="zh-TW" w:eastAsia="zh-TW" w:bidi="zh-TW"/>
        </w:rPr>
        <w:t>（</w:t>
      </w:r>
      <w:bookmarkEnd w:id="53"/>
      <w:r>
        <w:rPr>
          <w:rFonts w:hint="eastAsia" w:cs="宋体" w:asciiTheme="minorEastAsia" w:hAnsiTheme="minorEastAsia" w:eastAsiaTheme="minorEastAsia"/>
          <w:sz w:val="21"/>
          <w:szCs w:val="21"/>
          <w:lang w:val="zh-TW" w:eastAsia="zh-TW" w:bidi="zh-TW"/>
        </w:rPr>
        <w:t>一）见证方作为采购代理机构对合同进行确认。</w:t>
      </w:r>
    </w:p>
    <w:p>
      <w:pPr>
        <w:tabs>
          <w:tab w:val="left" w:pos="1419"/>
        </w:tabs>
        <w:spacing w:after="120"/>
        <w:ind w:firstLine="420"/>
        <w:rPr>
          <w:rFonts w:cs="宋体" w:asciiTheme="minorEastAsia" w:hAnsiTheme="minorEastAsia" w:eastAsiaTheme="minorEastAsia"/>
          <w:sz w:val="21"/>
          <w:szCs w:val="21"/>
          <w:lang w:val="zh-TW" w:eastAsia="zh-TW" w:bidi="zh-TW"/>
        </w:rPr>
      </w:pPr>
      <w:bookmarkStart w:id="54" w:name="bookmark74"/>
      <w:r>
        <w:rPr>
          <w:rFonts w:hint="eastAsia" w:cs="宋体" w:asciiTheme="minorEastAsia" w:hAnsiTheme="minorEastAsia" w:eastAsiaTheme="minorEastAsia"/>
          <w:sz w:val="21"/>
          <w:szCs w:val="21"/>
          <w:lang w:val="zh-TW" w:eastAsia="zh-TW" w:bidi="zh-TW"/>
        </w:rPr>
        <w:t>（</w:t>
      </w:r>
      <w:bookmarkEnd w:id="54"/>
      <w:r>
        <w:rPr>
          <w:rFonts w:hint="eastAsia" w:cs="宋体" w:asciiTheme="minorEastAsia" w:hAnsiTheme="minorEastAsia" w:eastAsiaTheme="minorEastAsia"/>
          <w:sz w:val="21"/>
          <w:szCs w:val="21"/>
          <w:lang w:val="zh-TW" w:eastAsia="zh-TW" w:bidi="zh-TW"/>
        </w:rPr>
        <w:t>二）西安市雁塔区财政局在合同的履行期间以及履行期后，可以随时检查项目的执行情况，对采购标准、</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购内容进行调查核实，并对发现的问题进行处理。</w:t>
      </w:r>
      <w:bookmarkStart w:id="55" w:name="bookmark75"/>
    </w:p>
    <w:p>
      <w:pPr>
        <w:tabs>
          <w:tab w:val="left" w:pos="1419"/>
        </w:tabs>
        <w:spacing w:after="12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55"/>
      <w:r>
        <w:rPr>
          <w:rFonts w:hint="eastAsia" w:cs="宋体" w:asciiTheme="minorEastAsia" w:hAnsiTheme="minorEastAsia" w:eastAsiaTheme="minorEastAsia"/>
          <w:sz w:val="21"/>
          <w:szCs w:val="21"/>
          <w:lang w:val="zh-TW" w:eastAsia="zh-TW" w:bidi="zh-TW"/>
        </w:rPr>
        <w:t>三）竞争性谈判文件、响应文件、澄清表（函）、成交通知书、合同附件均成为合同不可分割的部分。</w:t>
      </w:r>
    </w:p>
    <w:p>
      <w:pPr>
        <w:tabs>
          <w:tab w:val="left" w:pos="1598"/>
        </w:tabs>
        <w:ind w:left="180" w:firstLine="420"/>
        <w:rPr>
          <w:rFonts w:cs="宋体" w:asciiTheme="minorEastAsia" w:hAnsiTheme="minorEastAsia" w:eastAsiaTheme="minorEastAsia"/>
          <w:sz w:val="21"/>
          <w:szCs w:val="21"/>
          <w:lang w:val="zh-TW" w:eastAsia="zh-TW" w:bidi="zh-TW"/>
        </w:rPr>
      </w:pPr>
      <w:bookmarkStart w:id="56" w:name="bookmark76"/>
      <w:r>
        <w:rPr>
          <w:rFonts w:hint="eastAsia" w:cs="宋体" w:asciiTheme="minorEastAsia" w:hAnsiTheme="minorEastAsia" w:eastAsiaTheme="minorEastAsia"/>
          <w:sz w:val="21"/>
          <w:szCs w:val="21"/>
          <w:lang w:val="zh-TW" w:eastAsia="zh-TW" w:bidi="zh-TW"/>
        </w:rPr>
        <w:t>（</w:t>
      </w:r>
      <w:bookmarkEnd w:id="56"/>
      <w:r>
        <w:rPr>
          <w:rFonts w:hint="eastAsia" w:cs="宋体" w:asciiTheme="minorEastAsia" w:hAnsiTheme="minorEastAsia" w:eastAsiaTheme="minorEastAsia"/>
          <w:sz w:val="21"/>
          <w:szCs w:val="21"/>
          <w:lang w:val="zh-TW" w:eastAsia="zh-TW" w:bidi="zh-TW"/>
        </w:rPr>
        <w:t>四）不可抗力事件处理</w:t>
      </w:r>
    </w:p>
    <w:p>
      <w:pPr>
        <w:tabs>
          <w:tab w:val="left" w:pos="1598"/>
        </w:tabs>
        <w:ind w:left="18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甲乙双方因不可抗力导致本合同全部或部分不能履行时，发生不可抗力的一方应当在不可抗力发生后</w:t>
      </w:r>
      <w:r>
        <w:rPr>
          <w:rFonts w:hint="eastAsia" w:cs="宋体" w:asciiTheme="minorEastAsia" w:hAnsiTheme="minorEastAsia" w:eastAsiaTheme="minorEastAsia"/>
          <w:sz w:val="21"/>
          <w:szCs w:val="21"/>
          <w:lang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天内书面通知对方，以减轻可能给对方造成的损失。因不可抗力导致本合同全部或部分不能履行时，双方各自承担其因此而造成的损失、损害。</w:t>
      </w:r>
    </w:p>
    <w:p>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2）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3）本合同中的不可抗力指不能预见、不能避免并不能克服的客观情况。包括但不限于：自然灾害如地震、台风、洪水、火灾；政府行为、法律规定或其适用的变化或者其他任何无法预见、避免或者控制的事件。</w:t>
      </w:r>
    </w:p>
    <w:p>
      <w:pPr>
        <w:tabs>
          <w:tab w:val="left" w:pos="1598"/>
        </w:tabs>
        <w:spacing w:after="380"/>
        <w:ind w:left="180" w:firstLine="420"/>
        <w:rPr>
          <w:rFonts w:ascii="宋体" w:hAnsi="宋体" w:eastAsia="宋体" w:cs="宋体"/>
          <w:lang w:val="zh-TW" w:eastAsia="zh-TW" w:bidi="zh-TW"/>
        </w:rPr>
      </w:pPr>
      <w:bookmarkStart w:id="57" w:name="bookmark77"/>
      <w:r>
        <w:rPr>
          <w:rFonts w:hint="eastAsia" w:cs="宋体" w:asciiTheme="minorEastAsia" w:hAnsiTheme="minorEastAsia" w:eastAsiaTheme="minorEastAsia"/>
          <w:sz w:val="21"/>
          <w:szCs w:val="21"/>
          <w:lang w:val="zh-TW" w:eastAsia="zh-TW" w:bidi="zh-TW"/>
        </w:rPr>
        <w:t>（</w:t>
      </w:r>
      <w:bookmarkEnd w:id="57"/>
      <w:r>
        <w:rPr>
          <w:rFonts w:hint="eastAsia" w:cs="宋体" w:asciiTheme="minorEastAsia" w:hAnsiTheme="minorEastAsia" w:eastAsiaTheme="minorEastAsia"/>
          <w:sz w:val="21"/>
          <w:szCs w:val="21"/>
          <w:lang w:val="zh-TW" w:eastAsia="zh-TW" w:bidi="zh-TW"/>
        </w:rPr>
        <w:t>五）合同未尽事宜，由甲、乙双方协商并经见证方确认后签订政府采购补充合同，与原合同具有同等法律效力。</w:t>
      </w:r>
    </w:p>
    <w:p>
      <w:pPr>
        <w:pStyle w:val="6"/>
        <w:ind w:firstLine="210"/>
        <w:rPr>
          <w:rFonts w:ascii="宋体" w:hAnsi="宋体" w:eastAsia="宋体" w:cs="宋体"/>
          <w:sz w:val="21"/>
          <w:szCs w:val="21"/>
          <w:lang w:val="zh-TW"/>
        </w:rPr>
      </w:pPr>
      <w:r>
        <w:rPr>
          <w:rFonts w:hint="eastAsia" w:ascii="宋体" w:hAnsi="宋体" w:eastAsia="宋体" w:cs="宋体"/>
          <w:sz w:val="21"/>
          <w:szCs w:val="21"/>
          <w:lang w:val="zh-TW"/>
        </w:rPr>
        <w:t>（</w:t>
      </w:r>
      <w:r>
        <w:rPr>
          <w:rFonts w:hint="eastAsia" w:ascii="宋体" w:hAnsi="宋体" w:eastAsia="宋体" w:cs="宋体"/>
          <w:sz w:val="21"/>
          <w:szCs w:val="21"/>
        </w:rPr>
        <w:t>本页无正文</w:t>
      </w:r>
      <w:r>
        <w:rPr>
          <w:rFonts w:hint="eastAsia" w:ascii="宋体" w:hAnsi="宋体" w:eastAsia="宋体" w:cs="宋体"/>
          <w:sz w:val="21"/>
          <w:szCs w:val="21"/>
          <w:lang w:val="zh-TW"/>
        </w:rPr>
        <w:t>）</w:t>
      </w:r>
    </w:p>
    <w:tbl>
      <w:tblPr>
        <w:tblStyle w:val="7"/>
        <w:tblW w:w="8379" w:type="dxa"/>
        <w:jc w:val="center"/>
        <w:tblLayout w:type="fixed"/>
        <w:tblCellMar>
          <w:top w:w="0" w:type="dxa"/>
          <w:left w:w="10" w:type="dxa"/>
          <w:bottom w:w="0" w:type="dxa"/>
          <w:right w:w="10" w:type="dxa"/>
        </w:tblCellMar>
      </w:tblPr>
      <w:tblGrid>
        <w:gridCol w:w="2688"/>
        <w:gridCol w:w="2700"/>
        <w:gridCol w:w="2991"/>
      </w:tblGrid>
      <w:tr>
        <w:tblPrEx>
          <w:tblCellMar>
            <w:top w:w="0" w:type="dxa"/>
            <w:left w:w="10" w:type="dxa"/>
            <w:bottom w:w="0" w:type="dxa"/>
            <w:right w:w="10" w:type="dxa"/>
          </w:tblCellMar>
        </w:tblPrEx>
        <w:trPr>
          <w:trHeight w:val="535" w:hRule="exact"/>
          <w:jc w:val="center"/>
        </w:trPr>
        <w:tc>
          <w:tcPr>
            <w:tcW w:w="2688"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甲方</w:t>
            </w:r>
          </w:p>
        </w:tc>
        <w:tc>
          <w:tcPr>
            <w:tcW w:w="2700"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乙方</w:t>
            </w:r>
          </w:p>
        </w:tc>
        <w:tc>
          <w:tcPr>
            <w:tcW w:w="2991" w:type="dxa"/>
            <w:tcBorders>
              <w:top w:val="single" w:color="auto" w:sz="4" w:space="0"/>
              <w:left w:val="single" w:color="auto" w:sz="4" w:space="0"/>
              <w:bottom w:val="single" w:color="auto" w:sz="4" w:space="0"/>
              <w:right w:val="single" w:color="auto" w:sz="4" w:space="0"/>
            </w:tcBorders>
            <w:shd w:val="clear" w:color="auto" w:fill="FFFFFF"/>
          </w:tcPr>
          <w:p>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见证方</w:t>
            </w:r>
          </w:p>
        </w:tc>
      </w:tr>
      <w:tr>
        <w:tblPrEx>
          <w:tblCellMar>
            <w:top w:w="0" w:type="dxa"/>
            <w:left w:w="10" w:type="dxa"/>
            <w:bottom w:w="0" w:type="dxa"/>
            <w:right w:w="10" w:type="dxa"/>
          </w:tblCellMar>
        </w:tblPrEx>
        <w:trPr>
          <w:trHeight w:val="554" w:hRule="exact"/>
          <w:jc w:val="center"/>
        </w:trPr>
        <w:tc>
          <w:tcPr>
            <w:tcW w:w="2688" w:type="dxa"/>
            <w:tcBorders>
              <w:top w:val="single" w:color="auto" w:sz="4" w:space="0"/>
              <w:left w:val="single" w:color="auto" w:sz="4" w:space="0"/>
            </w:tcBorders>
            <w:shd w:val="clear" w:color="auto" w:fill="FFFFFF"/>
            <w:vAlign w:val="center"/>
          </w:tcPr>
          <w:p>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采购人名称</w:t>
            </w:r>
          </w:p>
        </w:tc>
        <w:tc>
          <w:tcPr>
            <w:tcW w:w="2700" w:type="dxa"/>
            <w:tcBorders>
              <w:top w:val="single" w:color="auto" w:sz="4" w:space="0"/>
              <w:left w:val="single" w:color="auto" w:sz="4" w:space="0"/>
            </w:tcBorders>
            <w:shd w:val="clear" w:color="auto" w:fill="FFFFFF"/>
            <w:vAlign w:val="center"/>
          </w:tcPr>
          <w:p>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供应商全称</w:t>
            </w:r>
          </w:p>
        </w:tc>
        <w:tc>
          <w:tcPr>
            <w:tcW w:w="2991" w:type="dxa"/>
            <w:tcBorders>
              <w:top w:val="single" w:color="auto" w:sz="4" w:space="0"/>
              <w:left w:val="single" w:color="auto" w:sz="4" w:space="0"/>
              <w:bottom w:val="nil"/>
              <w:right w:val="single" w:color="auto" w:sz="4" w:space="0"/>
            </w:tcBorders>
            <w:shd w:val="clear" w:color="auto" w:fill="FFFFFF"/>
          </w:tcPr>
          <w:p>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采购代理机构</w:t>
            </w:r>
          </w:p>
        </w:tc>
      </w:tr>
      <w:tr>
        <w:tblPrEx>
          <w:tblCellMar>
            <w:top w:w="0" w:type="dxa"/>
            <w:left w:w="10" w:type="dxa"/>
            <w:bottom w:w="0" w:type="dxa"/>
            <w:right w:w="10" w:type="dxa"/>
          </w:tblCellMar>
        </w:tblPrEx>
        <w:trPr>
          <w:trHeight w:val="432" w:hRule="exact"/>
          <w:jc w:val="center"/>
        </w:trPr>
        <w:tc>
          <w:tcPr>
            <w:tcW w:w="2688" w:type="dxa"/>
            <w:tcBorders>
              <w:left w:val="single" w:color="auto" w:sz="4" w:space="0"/>
            </w:tcBorders>
            <w:shd w:val="clear" w:color="auto" w:fill="FFFFFF"/>
            <w:vAlign w:val="center"/>
          </w:tcPr>
          <w:p>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2700" w:type="dxa"/>
            <w:tcBorders>
              <w:left w:val="single" w:color="auto" w:sz="4" w:space="0"/>
            </w:tcBorders>
            <w:shd w:val="clear" w:color="auto" w:fill="FFFFFF"/>
            <w:vAlign w:val="center"/>
          </w:tcPr>
          <w:p>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2991" w:type="dxa"/>
            <w:tcBorders>
              <w:top w:val="nil"/>
              <w:left w:val="single" w:color="auto" w:sz="4" w:space="0"/>
              <w:bottom w:val="single" w:color="auto" w:sz="4" w:space="0"/>
              <w:right w:val="single" w:color="auto" w:sz="4" w:space="0"/>
            </w:tcBorders>
            <w:shd w:val="clear" w:color="auto" w:fill="FFFFFF"/>
          </w:tcPr>
          <w:p>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r>
      <w:tr>
        <w:tblPrEx>
          <w:tblCellMar>
            <w:top w:w="0" w:type="dxa"/>
            <w:left w:w="10" w:type="dxa"/>
            <w:bottom w:w="0" w:type="dxa"/>
            <w:right w:w="10" w:type="dxa"/>
          </w:tblCellMar>
        </w:tblPrEx>
        <w:trPr>
          <w:trHeight w:val="930" w:hRule="exact"/>
          <w:jc w:val="center"/>
        </w:trPr>
        <w:tc>
          <w:tcPr>
            <w:tcW w:w="2688" w:type="dxa"/>
            <w:tcBorders>
              <w:top w:val="single" w:color="auto" w:sz="4" w:space="0"/>
              <w:left w:val="single" w:color="auto" w:sz="4" w:space="0"/>
            </w:tcBorders>
            <w:shd w:val="clear" w:color="auto" w:fill="FFFFFF"/>
          </w:tcPr>
          <w:p>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2700" w:type="dxa"/>
            <w:tcBorders>
              <w:top w:val="single" w:color="auto" w:sz="4" w:space="0"/>
              <w:left w:val="single" w:color="auto" w:sz="4" w:space="0"/>
            </w:tcBorders>
            <w:shd w:val="clear" w:color="auto" w:fill="FFFFFF"/>
          </w:tcPr>
          <w:p>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2991" w:type="dxa"/>
            <w:tcBorders>
              <w:top w:val="single" w:color="auto" w:sz="4" w:space="0"/>
              <w:left w:val="single" w:color="auto" w:sz="4" w:space="0"/>
              <w:right w:val="single" w:color="auto" w:sz="4" w:space="0"/>
            </w:tcBorders>
            <w:shd w:val="clear" w:color="auto" w:fill="FFFFFF"/>
          </w:tcPr>
          <w:p>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r>
              <w:rPr>
                <w:rFonts w:hint="eastAsia" w:ascii="宋体" w:hAnsi="宋体" w:eastAsia="宋体" w:cs="宋体"/>
                <w:sz w:val="21"/>
                <w:szCs w:val="21"/>
                <w:lang w:val="zh-TW" w:eastAsia="zh-TW" w:bidi="zh-TW"/>
              </w:rPr>
              <w:tab/>
            </w:r>
          </w:p>
        </w:tc>
      </w:tr>
      <w:tr>
        <w:tblPrEx>
          <w:tblCellMar>
            <w:top w:w="0" w:type="dxa"/>
            <w:left w:w="10" w:type="dxa"/>
            <w:bottom w:w="0" w:type="dxa"/>
            <w:right w:w="10" w:type="dxa"/>
          </w:tblCellMar>
        </w:tblPrEx>
        <w:trPr>
          <w:trHeight w:val="956" w:hRule="exact"/>
          <w:jc w:val="center"/>
        </w:trPr>
        <w:tc>
          <w:tcPr>
            <w:tcW w:w="2688"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2700"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2991" w:type="dxa"/>
            <w:tcBorders>
              <w:top w:val="single" w:color="auto" w:sz="4" w:space="0"/>
              <w:left w:val="single" w:color="auto" w:sz="4" w:space="0"/>
              <w:righ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经办人（签字）:</w:t>
            </w:r>
          </w:p>
        </w:tc>
      </w:tr>
      <w:tr>
        <w:tblPrEx>
          <w:tblCellMar>
            <w:top w:w="0" w:type="dxa"/>
            <w:left w:w="10" w:type="dxa"/>
            <w:bottom w:w="0" w:type="dxa"/>
            <w:right w:w="10" w:type="dxa"/>
          </w:tblCellMar>
        </w:tblPrEx>
        <w:trPr>
          <w:trHeight w:val="711" w:hRule="exact"/>
          <w:jc w:val="center"/>
        </w:trPr>
        <w:tc>
          <w:tcPr>
            <w:tcW w:w="2688"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2700"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2991" w:type="dxa"/>
            <w:tcBorders>
              <w:top w:val="single" w:color="auto" w:sz="4" w:space="0"/>
              <w:left w:val="single" w:color="auto" w:sz="4" w:space="0"/>
              <w:righ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ascii="宋体" w:hAnsi="宋体" w:eastAsia="宋体" w:cs="宋体"/>
                <w:sz w:val="21"/>
                <w:szCs w:val="21"/>
                <w:lang w:val="zh-TW" w:eastAsia="zh-TW" w:bidi="zh-TW"/>
              </w:rPr>
              <w:t>电话：</w:t>
            </w:r>
          </w:p>
        </w:tc>
      </w:tr>
      <w:tr>
        <w:tblPrEx>
          <w:tblCellMar>
            <w:top w:w="0" w:type="dxa"/>
            <w:left w:w="10" w:type="dxa"/>
            <w:bottom w:w="0" w:type="dxa"/>
            <w:right w:w="10" w:type="dxa"/>
          </w:tblCellMar>
        </w:tblPrEx>
        <w:trPr>
          <w:trHeight w:val="720" w:hRule="exact"/>
          <w:jc w:val="center"/>
        </w:trPr>
        <w:tc>
          <w:tcPr>
            <w:tcW w:w="2688" w:type="dxa"/>
            <w:tcBorders>
              <w:top w:val="single" w:color="auto" w:sz="4" w:space="0"/>
              <w:left w:val="single" w:color="auto" w:sz="4" w:space="0"/>
            </w:tcBorders>
            <w:shd w:val="clear" w:color="auto" w:fill="FFFFFF"/>
          </w:tcPr>
          <w:p>
            <w:pPr>
              <w:tabs>
                <w:tab w:val="left" w:pos="1598"/>
              </w:tabs>
              <w:spacing w:after="380" w:line="413" w:lineRule="exact"/>
              <w:ind w:firstLine="420"/>
              <w:jc w:val="left"/>
              <w:rPr>
                <w:rFonts w:ascii="宋体" w:hAnsi="宋体" w:eastAsia="宋体" w:cs="宋体"/>
                <w:sz w:val="21"/>
                <w:szCs w:val="21"/>
                <w:lang w:val="zh-TW" w:eastAsia="zh-TW" w:bidi="zh-TW"/>
              </w:rPr>
            </w:pPr>
          </w:p>
        </w:tc>
        <w:tc>
          <w:tcPr>
            <w:tcW w:w="2700"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开户银行：</w:t>
            </w:r>
          </w:p>
        </w:tc>
        <w:tc>
          <w:tcPr>
            <w:tcW w:w="2991" w:type="dxa"/>
            <w:tcBorders>
              <w:top w:val="single" w:color="auto" w:sz="4" w:space="0"/>
              <w:left w:val="single" w:color="auto" w:sz="4" w:space="0"/>
              <w:right w:val="single" w:color="auto" w:sz="4" w:space="0"/>
            </w:tcBorders>
            <w:shd w:val="clear" w:color="auto" w:fill="FFFFFF"/>
          </w:tcPr>
          <w:p>
            <w:pPr>
              <w:tabs>
                <w:tab w:val="left" w:pos="1598"/>
              </w:tabs>
              <w:spacing w:after="380" w:line="413" w:lineRule="exact"/>
              <w:ind w:firstLine="420"/>
              <w:jc w:val="left"/>
              <w:rPr>
                <w:rFonts w:ascii="宋体" w:hAnsi="宋体" w:eastAsia="宋体" w:cs="宋体"/>
                <w:sz w:val="21"/>
                <w:szCs w:val="21"/>
                <w:lang w:val="zh-TW" w:eastAsia="zh-TW" w:bidi="zh-TW"/>
              </w:rPr>
            </w:pPr>
          </w:p>
        </w:tc>
      </w:tr>
      <w:tr>
        <w:tblPrEx>
          <w:tblCellMar>
            <w:top w:w="0" w:type="dxa"/>
            <w:left w:w="10" w:type="dxa"/>
            <w:bottom w:w="0" w:type="dxa"/>
            <w:right w:w="10" w:type="dxa"/>
          </w:tblCellMar>
        </w:tblPrEx>
        <w:trPr>
          <w:trHeight w:val="711" w:hRule="exact"/>
          <w:jc w:val="center"/>
        </w:trPr>
        <w:tc>
          <w:tcPr>
            <w:tcW w:w="2688" w:type="dxa"/>
            <w:tcBorders>
              <w:top w:val="single" w:color="auto" w:sz="4" w:space="0"/>
              <w:left w:val="single" w:color="auto" w:sz="4" w:space="0"/>
            </w:tcBorders>
            <w:shd w:val="clear" w:color="auto" w:fill="FFFFFF"/>
          </w:tcPr>
          <w:p>
            <w:pPr>
              <w:tabs>
                <w:tab w:val="left" w:pos="1598"/>
              </w:tabs>
              <w:spacing w:after="380" w:line="413" w:lineRule="exact"/>
              <w:ind w:firstLine="420"/>
              <w:jc w:val="left"/>
              <w:rPr>
                <w:rFonts w:ascii="宋体" w:hAnsi="宋体" w:eastAsia="宋体" w:cs="宋体"/>
                <w:sz w:val="21"/>
                <w:szCs w:val="21"/>
                <w:lang w:val="zh-TW" w:eastAsia="zh-TW" w:bidi="zh-TW"/>
              </w:rPr>
            </w:pPr>
          </w:p>
        </w:tc>
        <w:tc>
          <w:tcPr>
            <w:tcW w:w="2700" w:type="dxa"/>
            <w:tcBorders>
              <w:top w:val="single" w:color="auto" w:sz="4" w:space="0"/>
              <w:left w:val="single" w:color="auto" w:sz="4" w:space="0"/>
            </w:tcBorders>
            <w:shd w:val="clear" w:color="auto" w:fill="FFFFFF"/>
            <w:vAlign w:val="center"/>
          </w:tcPr>
          <w:p>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帐号：</w:t>
            </w:r>
          </w:p>
        </w:tc>
        <w:tc>
          <w:tcPr>
            <w:tcW w:w="2991" w:type="dxa"/>
            <w:tcBorders>
              <w:top w:val="single" w:color="auto" w:sz="4" w:space="0"/>
              <w:left w:val="single" w:color="auto" w:sz="4" w:space="0"/>
              <w:right w:val="single" w:color="auto" w:sz="4" w:space="0"/>
            </w:tcBorders>
            <w:shd w:val="clear" w:color="auto" w:fill="FFFFFF"/>
          </w:tcPr>
          <w:p>
            <w:pPr>
              <w:tabs>
                <w:tab w:val="left" w:pos="1598"/>
              </w:tabs>
              <w:spacing w:after="380" w:line="413" w:lineRule="exact"/>
              <w:ind w:firstLine="420"/>
              <w:jc w:val="left"/>
              <w:rPr>
                <w:rFonts w:ascii="宋体" w:hAnsi="宋体" w:eastAsia="宋体" w:cs="宋体"/>
                <w:sz w:val="21"/>
                <w:szCs w:val="21"/>
                <w:lang w:val="zh-TW" w:eastAsia="zh-TW" w:bidi="zh-TW"/>
              </w:rPr>
            </w:pPr>
          </w:p>
        </w:tc>
      </w:tr>
      <w:tr>
        <w:tblPrEx>
          <w:tblCellMar>
            <w:top w:w="0" w:type="dxa"/>
            <w:left w:w="10" w:type="dxa"/>
            <w:bottom w:w="0" w:type="dxa"/>
            <w:right w:w="10" w:type="dxa"/>
          </w:tblCellMar>
        </w:tblPrEx>
        <w:trPr>
          <w:trHeight w:val="776" w:hRule="exact"/>
          <w:jc w:val="center"/>
        </w:trPr>
        <w:tc>
          <w:tcPr>
            <w:tcW w:w="2688" w:type="dxa"/>
            <w:tcBorders>
              <w:top w:val="single" w:color="auto" w:sz="4" w:space="0"/>
              <w:left w:val="single" w:color="auto" w:sz="4" w:space="0"/>
              <w:bottom w:val="single" w:color="auto" w:sz="4" w:space="0"/>
            </w:tcBorders>
            <w:shd w:val="clear" w:color="auto" w:fill="FFFFFF"/>
            <w:vAlign w:val="center"/>
          </w:tcPr>
          <w:p>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2700" w:type="dxa"/>
            <w:tcBorders>
              <w:top w:val="single" w:color="auto" w:sz="4" w:space="0"/>
              <w:left w:val="single" w:color="auto" w:sz="4" w:space="0"/>
              <w:bottom w:val="single" w:color="auto" w:sz="4" w:space="0"/>
            </w:tcBorders>
            <w:shd w:val="clear" w:color="auto" w:fill="FFFFFF"/>
            <w:vAlign w:val="center"/>
          </w:tcPr>
          <w:p>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2991" w:type="dxa"/>
            <w:tcBorders>
              <w:top w:val="single" w:color="auto" w:sz="4" w:space="0"/>
              <w:left w:val="single" w:color="auto" w:sz="4" w:space="0"/>
              <w:bottom w:val="single" w:color="auto" w:sz="4" w:space="0"/>
              <w:right w:val="single" w:color="auto" w:sz="4" w:space="0"/>
            </w:tcBorders>
            <w:shd w:val="clear" w:color="auto" w:fill="FFFFFF"/>
            <w:vAlign w:val="center"/>
          </w:tcPr>
          <w:p>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r>
    </w:tbl>
    <w:p>
      <w:pPr>
        <w:ind w:firstLine="480"/>
        <w:rPr>
          <w:rFonts w:ascii="宋体" w:hAnsi="宋体" w:eastAsia="宋体" w:cs="宋体"/>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PMingLiU">
    <w:altName w:val="Microsoft JhengHei UI"/>
    <w:panose1 w:val="02010601000101010101"/>
    <w:charset w:val="88"/>
    <w:family w:val="auto"/>
    <w:pitch w:val="default"/>
    <w:sig w:usb0="00000000" w:usb1="00000000" w:usb2="00000010" w:usb3="00000000" w:csb0="00100000" w:csb1="00000000"/>
  </w:font>
  <w:font w:name="Segoe Print">
    <w:panose1 w:val="02000600000000000000"/>
    <w:charset w:val="00"/>
    <w:family w:val="auto"/>
    <w:pitch w:val="default"/>
    <w:sig w:usb0="0000028F" w:usb1="00000000" w:usb2="00000000" w:usb3="00000000" w:csb0="2000009F" w:csb1="4701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mOGRiNjZmZjJlODQwZDE2ZWRlNTdhMWRjMDUzZGU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21BA24F8"/>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rFonts w:ascii="Copperplate Gothic Bold" w:hAnsi="Copperplate Gothic Bold"/>
      <w:sz w:val="28"/>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character" w:customStyle="1" w:styleId="9">
    <w:name w:val="页眉 Char"/>
    <w:basedOn w:val="8"/>
    <w:link w:val="5"/>
    <w:uiPriority w:val="0"/>
    <w:rPr>
      <w:rFonts w:eastAsia="楷体"/>
      <w:kern w:val="2"/>
      <w:sz w:val="18"/>
      <w:szCs w:val="18"/>
    </w:rPr>
  </w:style>
  <w:style w:type="character" w:customStyle="1" w:styleId="10">
    <w:name w:val="页脚 Char"/>
    <w:basedOn w:val="8"/>
    <w:link w:val="4"/>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11</Pages>
  <Words>6434</Words>
  <Characters>6471</Characters>
  <Lines>49</Lines>
  <Paragraphs>13</Paragraphs>
  <TotalTime>35</TotalTime>
  <ScaleCrop>false</ScaleCrop>
  <LinksUpToDate>false</LinksUpToDate>
  <CharactersWithSpaces>6673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妞妞</cp:lastModifiedBy>
  <dcterms:modified xsi:type="dcterms:W3CDTF">2024-07-12T09:31:23Z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4DEDC21298F941F295D54533EECC6C3B_11</vt:lpwstr>
  </property>
</Properties>
</file>