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版本号：ZJZC2025092900320251010001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西安市雁塔区东康路二期考古发掘劳务项目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ZJZC20250929003</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中建华阳建设项目管理有限责任公司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中建华阳建设项目管理有限责任公司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西安市雁塔区东康路二期考古发掘劳务项目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ZJZC20250929003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西安市雁塔区东康路二期考古发掘劳务项目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西安市雁塔区东康路考古发掘劳务项目，项目位于陕西省西安市雁塔区等驾坡街道，康宁路以南，新兴南路以北，路桥公司家属院以东，万科新建小区以西，项目占地总面积12353.32 平方米；项目一期实际勘探面积9371.32平方米，未探面积2982平方米（合4.47亩），勘探完成率约75.86%（未探区域为未清表区域，不具备勘探条件），发现墓葬106座、灰坑2处、沟3条；此次采购为东康路二期考古发掘劳务，项目二期实际勘探面积2182.47平方米，未探区域799.53平方米（合1.2亩），勘探完成率约93.53%（未探区域为未清表区域，不具备勘探条件），发现墓葬12座、灰坑26处、沟1条、井2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采购包1（西安市雁塔区东康路二期考古发掘劳务项目）：属于专门面向中小企业采购。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经审计的财务报（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中建华阳建设项目管理有限责任公司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陕西省西安市新城区陕西省西安市新城区长乐中路242号金花新都汇A座写字楼24层06室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董喜峰、裴慢慢、王超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18729530649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不足6000.00元按6000.00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中建华阳建设项目管理有限责任公司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中建华阳建设项目管理有限责任公司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中建华阳建设项目管理有限责任公司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联系人：董喜峰、裴慢慢、王超</w:t>
      </w:r>
    </w:p>
    <w:p>
      <w:pPr>
        <w:pStyle w:val="null3"/>
      </w:pPr>
      <w:r>
        <w:rPr>
          <w:rFonts w:ascii="仿宋_GB2312" w:hAnsi="仿宋_GB2312" w:cs="仿宋_GB2312" w:eastAsia="仿宋_GB2312"/>
        </w:rPr>
        <w:t>联系电话：18729530649</w:t>
      </w:r>
    </w:p>
    <w:p>
      <w:pPr>
        <w:pStyle w:val="null3"/>
      </w:pPr>
      <w:r>
        <w:rPr>
          <w:rFonts w:ascii="仿宋_GB2312" w:hAnsi="仿宋_GB2312" w:cs="仿宋_GB2312" w:eastAsia="仿宋_GB2312"/>
        </w:rPr>
        <w:t>地址：陕西省西安市新城区长乐中路242号金花新都汇A座写字楼24层06室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西安市雁塔区东康路考古发掘劳务项目，项目位于陕西省西安市雁塔区等驾坡街道，康宁路以南，新兴南路以北，路桥公司家属院以东，万科新建小区以西，项目占地总面积12353.32 平方米；项目一期实际勘探面积9371.32平方米，未探面积2982平方米（合4.47亩），勘探完成率约75.86%（未探区域为未清表区域，不具备勘探条件），发现墓葬106座、灰坑2处、沟3条；此次采购为东康路二期考古发掘劳务，项目二期实际勘探面积2182.47平方米，未探区域799.53平方米（合1.2亩），勘探完成率约93.53%（未探区域为未清表区域，不具备勘探条件），发现墓葬12座、灰坑26处、沟1条、井2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西安市雁塔区东康路二期考古发掘劳务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标的名称：西安市雁塔区东康路二期考古发掘劳务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both"/>
            </w:pPr>
            <w:r>
              <w:rPr>
                <w:rFonts w:ascii="仿宋_GB2312" w:hAnsi="仿宋_GB2312" w:cs="仿宋_GB2312" w:eastAsia="仿宋_GB2312"/>
                <w:sz w:val="18"/>
                <w:b/>
              </w:rPr>
              <w:t>一、采购内容</w:t>
            </w:r>
          </w:p>
          <w:p>
            <w:pPr>
              <w:pStyle w:val="null3"/>
              <w:ind w:firstLine="360"/>
              <w:jc w:val="both"/>
            </w:pPr>
            <w:r>
              <w:rPr>
                <w:rFonts w:ascii="仿宋_GB2312" w:hAnsi="仿宋_GB2312" w:cs="仿宋_GB2312" w:eastAsia="仿宋_GB2312"/>
                <w:sz w:val="18"/>
              </w:rPr>
              <w:t>西安市雁塔区东康路考古发掘劳务项目</w:t>
            </w:r>
            <w:r>
              <w:rPr>
                <w:rFonts w:ascii="仿宋_GB2312" w:hAnsi="仿宋_GB2312" w:cs="仿宋_GB2312" w:eastAsia="仿宋_GB2312"/>
                <w:sz w:val="18"/>
              </w:rPr>
              <w:t>，项目位于陕西省西安市雁塔区等驾坡街道</w:t>
            </w:r>
            <w:r>
              <w:rPr>
                <w:rFonts w:ascii="仿宋_GB2312" w:hAnsi="仿宋_GB2312" w:cs="仿宋_GB2312" w:eastAsia="仿宋_GB2312"/>
                <w:sz w:val="18"/>
              </w:rPr>
              <w:t>，</w:t>
            </w:r>
            <w:r>
              <w:rPr>
                <w:rFonts w:ascii="仿宋_GB2312" w:hAnsi="仿宋_GB2312" w:cs="仿宋_GB2312" w:eastAsia="仿宋_GB2312"/>
                <w:sz w:val="18"/>
              </w:rPr>
              <w:t>康宁路以南，新兴南路以北，路桥公司家属院以东，万科新建小区以西，项目占地总面积</w:t>
            </w:r>
            <w:r>
              <w:rPr>
                <w:rFonts w:ascii="仿宋_GB2312" w:hAnsi="仿宋_GB2312" w:cs="仿宋_GB2312" w:eastAsia="仿宋_GB2312"/>
                <w:sz w:val="18"/>
              </w:rPr>
              <w:t>12353.32 平方米</w:t>
            </w:r>
            <w:r>
              <w:rPr>
                <w:rFonts w:ascii="仿宋_GB2312" w:hAnsi="仿宋_GB2312" w:cs="仿宋_GB2312" w:eastAsia="仿宋_GB2312"/>
                <w:sz w:val="18"/>
              </w:rPr>
              <w:t>；项目一期</w:t>
            </w:r>
            <w:r>
              <w:rPr>
                <w:rFonts w:ascii="仿宋_GB2312" w:hAnsi="仿宋_GB2312" w:cs="仿宋_GB2312" w:eastAsia="仿宋_GB2312"/>
                <w:sz w:val="18"/>
              </w:rPr>
              <w:t>实际勘探面积</w:t>
            </w:r>
            <w:r>
              <w:rPr>
                <w:rFonts w:ascii="仿宋_GB2312" w:hAnsi="仿宋_GB2312" w:cs="仿宋_GB2312" w:eastAsia="仿宋_GB2312"/>
                <w:sz w:val="18"/>
              </w:rPr>
              <w:t>9371.32平方米</w:t>
            </w:r>
            <w:r>
              <w:rPr>
                <w:rFonts w:ascii="仿宋_GB2312" w:hAnsi="仿宋_GB2312" w:cs="仿宋_GB2312" w:eastAsia="仿宋_GB2312"/>
                <w:sz w:val="18"/>
              </w:rPr>
              <w:t>，未探面积</w:t>
            </w:r>
            <w:r>
              <w:rPr>
                <w:rFonts w:ascii="仿宋_GB2312" w:hAnsi="仿宋_GB2312" w:cs="仿宋_GB2312" w:eastAsia="仿宋_GB2312"/>
                <w:sz w:val="18"/>
              </w:rPr>
              <w:t>2982平方米（合4.47亩），勘探完成率约75.86%（未探区域为未清表区域，不具备勘探条件），发现墓葬106座、灰坑2处、沟3条；此次采购为东康路二期考古发掘劳务，项目二期实际勘探面积2182.47平方米，未探区域799.53平方米（合1.2亩），</w:t>
            </w:r>
            <w:r>
              <w:rPr>
                <w:rFonts w:ascii="仿宋_GB2312" w:hAnsi="仿宋_GB2312" w:cs="仿宋_GB2312" w:eastAsia="仿宋_GB2312"/>
                <w:sz w:val="18"/>
              </w:rPr>
              <w:t>勘探完成率</w:t>
            </w:r>
            <w:r>
              <w:rPr>
                <w:rFonts w:ascii="仿宋_GB2312" w:hAnsi="仿宋_GB2312" w:cs="仿宋_GB2312" w:eastAsia="仿宋_GB2312"/>
                <w:sz w:val="18"/>
              </w:rPr>
              <w:t>约</w:t>
            </w:r>
            <w:r>
              <w:rPr>
                <w:rFonts w:ascii="仿宋_GB2312" w:hAnsi="仿宋_GB2312" w:cs="仿宋_GB2312" w:eastAsia="仿宋_GB2312"/>
                <w:sz w:val="18"/>
              </w:rPr>
              <w:t>93.53</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未探区域为</w:t>
            </w:r>
            <w:r>
              <w:rPr>
                <w:rFonts w:ascii="仿宋_GB2312" w:hAnsi="仿宋_GB2312" w:cs="仿宋_GB2312" w:eastAsia="仿宋_GB2312"/>
                <w:sz w:val="18"/>
              </w:rPr>
              <w:t>未清表</w:t>
            </w:r>
            <w:r>
              <w:rPr>
                <w:rFonts w:ascii="仿宋_GB2312" w:hAnsi="仿宋_GB2312" w:cs="仿宋_GB2312" w:eastAsia="仿宋_GB2312"/>
                <w:sz w:val="18"/>
              </w:rPr>
              <w:t>区域，不具备勘探条件</w:t>
            </w:r>
            <w:r>
              <w:rPr>
                <w:rFonts w:ascii="仿宋_GB2312" w:hAnsi="仿宋_GB2312" w:cs="仿宋_GB2312" w:eastAsia="仿宋_GB2312"/>
                <w:sz w:val="18"/>
              </w:rPr>
              <w:t>），发现墓葬</w:t>
            </w:r>
            <w:r>
              <w:rPr>
                <w:rFonts w:ascii="仿宋_GB2312" w:hAnsi="仿宋_GB2312" w:cs="仿宋_GB2312" w:eastAsia="仿宋_GB2312"/>
                <w:sz w:val="18"/>
              </w:rPr>
              <w:t>12座、灰坑26处、沟1条、井2口</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四至坐标</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西北角坐标：</w:t>
            </w:r>
            <w:r>
              <w:rPr>
                <w:rFonts w:ascii="仿宋_GB2312" w:hAnsi="仿宋_GB2312" w:cs="仿宋_GB2312" w:eastAsia="仿宋_GB2312"/>
                <w:sz w:val="18"/>
              </w:rPr>
              <w:t>X=3790671.296  Y=593561.091</w:t>
            </w:r>
          </w:p>
          <w:p>
            <w:pPr>
              <w:pStyle w:val="null3"/>
              <w:ind w:firstLine="360"/>
              <w:jc w:val="both"/>
            </w:pPr>
            <w:r>
              <w:rPr>
                <w:rFonts w:ascii="仿宋_GB2312" w:hAnsi="仿宋_GB2312" w:cs="仿宋_GB2312" w:eastAsia="仿宋_GB2312"/>
                <w:sz w:val="18"/>
              </w:rPr>
              <w:t>东北角坐标：</w:t>
            </w:r>
            <w:r>
              <w:rPr>
                <w:rFonts w:ascii="仿宋_GB2312" w:hAnsi="仿宋_GB2312" w:cs="仿宋_GB2312" w:eastAsia="仿宋_GB2312"/>
                <w:sz w:val="18"/>
              </w:rPr>
              <w:t>X=3790671.882  Y=593631.022</w:t>
            </w:r>
          </w:p>
          <w:p>
            <w:pPr>
              <w:pStyle w:val="null3"/>
              <w:ind w:firstLine="360"/>
              <w:jc w:val="both"/>
            </w:pPr>
            <w:r>
              <w:rPr>
                <w:rFonts w:ascii="仿宋_GB2312" w:hAnsi="仿宋_GB2312" w:cs="仿宋_GB2312" w:eastAsia="仿宋_GB2312"/>
                <w:sz w:val="18"/>
              </w:rPr>
              <w:t>西南角坐标：</w:t>
            </w:r>
            <w:r>
              <w:rPr>
                <w:rFonts w:ascii="仿宋_GB2312" w:hAnsi="仿宋_GB2312" w:cs="仿宋_GB2312" w:eastAsia="仿宋_GB2312"/>
                <w:sz w:val="18"/>
              </w:rPr>
              <w:t>X=3790320.763  Y=593562.996</w:t>
            </w:r>
          </w:p>
          <w:p>
            <w:pPr>
              <w:pStyle w:val="null3"/>
              <w:ind w:firstLine="360"/>
              <w:jc w:val="both"/>
            </w:pPr>
            <w:r>
              <w:rPr>
                <w:rFonts w:ascii="仿宋_GB2312" w:hAnsi="仿宋_GB2312" w:cs="仿宋_GB2312" w:eastAsia="仿宋_GB2312"/>
                <w:sz w:val="18"/>
              </w:rPr>
              <w:t>东南角坐标：</w:t>
            </w:r>
            <w:r>
              <w:rPr>
                <w:rFonts w:ascii="仿宋_GB2312" w:hAnsi="仿宋_GB2312" w:cs="仿宋_GB2312" w:eastAsia="仿宋_GB2312"/>
                <w:sz w:val="18"/>
              </w:rPr>
              <w:t>X=3790317.669  Y=593643.075</w:t>
            </w:r>
          </w:p>
          <w:p>
            <w:pPr>
              <w:pStyle w:val="null3"/>
              <w:ind w:firstLine="360"/>
              <w:jc w:val="both"/>
            </w:pPr>
            <w:r>
              <w:rPr>
                <w:rFonts w:ascii="仿宋_GB2312" w:hAnsi="仿宋_GB2312" w:cs="仿宋_GB2312" w:eastAsia="仿宋_GB2312"/>
                <w:sz w:val="18"/>
              </w:rPr>
              <w:t>二、</w:t>
            </w:r>
            <w:r>
              <w:rPr>
                <w:rFonts w:ascii="仿宋_GB2312" w:hAnsi="仿宋_GB2312" w:cs="仿宋_GB2312" w:eastAsia="仿宋_GB2312"/>
                <w:sz w:val="18"/>
                <w:b/>
              </w:rPr>
              <w:t>项目实施地点：</w:t>
            </w:r>
            <w:r>
              <w:rPr>
                <w:rFonts w:ascii="仿宋_GB2312" w:hAnsi="仿宋_GB2312" w:cs="仿宋_GB2312" w:eastAsia="仿宋_GB2312"/>
                <w:sz w:val="18"/>
              </w:rPr>
              <w:t>西安市雁塔区</w:t>
            </w:r>
          </w:p>
          <w:p>
            <w:pPr>
              <w:pStyle w:val="null3"/>
              <w:ind w:firstLine="361"/>
              <w:jc w:val="both"/>
            </w:pPr>
            <w:r>
              <w:rPr>
                <w:rFonts w:ascii="仿宋_GB2312" w:hAnsi="仿宋_GB2312" w:cs="仿宋_GB2312" w:eastAsia="仿宋_GB2312"/>
                <w:sz w:val="18"/>
                <w:b/>
              </w:rPr>
              <w:t>三、规范及技术要求：</w:t>
            </w:r>
          </w:p>
          <w:p>
            <w:pPr>
              <w:pStyle w:val="null3"/>
              <w:ind w:firstLine="361"/>
              <w:jc w:val="both"/>
            </w:pPr>
            <w:r>
              <w:rPr>
                <w:rFonts w:ascii="仿宋_GB2312" w:hAnsi="仿宋_GB2312" w:cs="仿宋_GB2312" w:eastAsia="仿宋_GB2312"/>
                <w:sz w:val="18"/>
                <w:b/>
              </w:rPr>
              <w:t>（一）规范：</w:t>
            </w:r>
          </w:p>
          <w:p>
            <w:pPr>
              <w:pStyle w:val="null3"/>
              <w:ind w:firstLine="360"/>
              <w:jc w:val="both"/>
            </w:pPr>
            <w:r>
              <w:rPr>
                <w:rFonts w:ascii="仿宋_GB2312" w:hAnsi="仿宋_GB2312" w:cs="仿宋_GB2312" w:eastAsia="仿宋_GB2312"/>
                <w:sz w:val="18"/>
              </w:rPr>
              <w:t>《中华人民共和国文物保护法》</w:t>
            </w:r>
          </w:p>
          <w:p>
            <w:pPr>
              <w:pStyle w:val="null3"/>
              <w:ind w:firstLine="360"/>
              <w:jc w:val="both"/>
            </w:pPr>
            <w:r>
              <w:rPr>
                <w:rFonts w:ascii="仿宋_GB2312" w:hAnsi="仿宋_GB2312" w:cs="仿宋_GB2312" w:eastAsia="仿宋_GB2312"/>
                <w:sz w:val="18"/>
              </w:rPr>
              <w:t>《中华人民共和国文物保护法实施条例》</w:t>
            </w:r>
          </w:p>
          <w:p>
            <w:pPr>
              <w:pStyle w:val="null3"/>
              <w:ind w:firstLine="360"/>
              <w:jc w:val="both"/>
            </w:pPr>
            <w:r>
              <w:rPr>
                <w:rFonts w:ascii="仿宋_GB2312" w:hAnsi="仿宋_GB2312" w:cs="仿宋_GB2312" w:eastAsia="仿宋_GB2312"/>
                <w:sz w:val="18"/>
              </w:rPr>
              <w:t>《陕西省文物保护条例》</w:t>
            </w:r>
          </w:p>
          <w:p>
            <w:pPr>
              <w:pStyle w:val="null3"/>
              <w:ind w:firstLine="360"/>
              <w:jc w:val="both"/>
            </w:pPr>
            <w:r>
              <w:rPr>
                <w:rFonts w:ascii="仿宋_GB2312" w:hAnsi="仿宋_GB2312" w:cs="仿宋_GB2312" w:eastAsia="仿宋_GB2312"/>
                <w:sz w:val="18"/>
              </w:rPr>
              <w:t>国家文物局颁布的《田野考古工作规程》</w:t>
            </w:r>
          </w:p>
          <w:p>
            <w:pPr>
              <w:pStyle w:val="null3"/>
              <w:ind w:firstLine="360"/>
              <w:jc w:val="both"/>
            </w:pPr>
            <w:r>
              <w:rPr>
                <w:rFonts w:ascii="仿宋_GB2312" w:hAnsi="仿宋_GB2312" w:cs="仿宋_GB2312" w:eastAsia="仿宋_GB2312"/>
                <w:sz w:val="18"/>
              </w:rPr>
              <w:t>国家文物局【</w:t>
            </w:r>
            <w:r>
              <w:rPr>
                <w:rFonts w:ascii="仿宋_GB2312" w:hAnsi="仿宋_GB2312" w:cs="仿宋_GB2312" w:eastAsia="仿宋_GB2312"/>
                <w:sz w:val="18"/>
              </w:rPr>
              <w:t>90】248号文件</w:t>
            </w:r>
          </w:p>
          <w:p>
            <w:pPr>
              <w:pStyle w:val="null3"/>
              <w:ind w:firstLine="360"/>
              <w:jc w:val="both"/>
            </w:pPr>
            <w:r>
              <w:rPr>
                <w:rFonts w:ascii="仿宋_GB2312" w:hAnsi="仿宋_GB2312" w:cs="仿宋_GB2312" w:eastAsia="仿宋_GB2312"/>
                <w:sz w:val="18"/>
              </w:rPr>
              <w:t>陕文物发【</w:t>
            </w:r>
            <w:r>
              <w:rPr>
                <w:rFonts w:ascii="仿宋_GB2312" w:hAnsi="仿宋_GB2312" w:cs="仿宋_GB2312" w:eastAsia="仿宋_GB2312"/>
                <w:sz w:val="18"/>
              </w:rPr>
              <w:t>2014】147号文件</w:t>
            </w:r>
          </w:p>
          <w:p>
            <w:pPr>
              <w:pStyle w:val="null3"/>
              <w:ind w:firstLine="361"/>
              <w:jc w:val="both"/>
            </w:pPr>
            <w:r>
              <w:rPr>
                <w:rFonts w:ascii="仿宋_GB2312" w:hAnsi="仿宋_GB2312" w:cs="仿宋_GB2312" w:eastAsia="仿宋_GB2312"/>
                <w:sz w:val="18"/>
                <w:b/>
              </w:rPr>
              <w:t>（二）技术要求：</w:t>
            </w:r>
          </w:p>
          <w:p>
            <w:pPr>
              <w:pStyle w:val="null3"/>
              <w:ind w:firstLine="360"/>
              <w:jc w:val="both"/>
            </w:pPr>
            <w:r>
              <w:rPr>
                <w:rFonts w:ascii="仿宋_GB2312" w:hAnsi="仿宋_GB2312" w:cs="仿宋_GB2312" w:eastAsia="仿宋_GB2312"/>
                <w:sz w:val="18"/>
              </w:rPr>
              <w:t>1、队伍人员要求：</w:t>
            </w:r>
          </w:p>
          <w:p>
            <w:pPr>
              <w:pStyle w:val="null3"/>
              <w:ind w:firstLine="360"/>
              <w:jc w:val="both"/>
            </w:pPr>
            <w:r>
              <w:rPr>
                <w:rFonts w:ascii="仿宋_GB2312" w:hAnsi="仿宋_GB2312" w:cs="仿宋_GB2312" w:eastAsia="仿宋_GB2312"/>
                <w:sz w:val="18"/>
              </w:rPr>
              <w:t>具有考古发掘劳务服务工作经验。</w:t>
            </w:r>
          </w:p>
          <w:p>
            <w:pPr>
              <w:pStyle w:val="null3"/>
              <w:ind w:firstLine="360"/>
              <w:jc w:val="both"/>
            </w:pPr>
            <w:r>
              <w:rPr>
                <w:rFonts w:ascii="仿宋_GB2312" w:hAnsi="仿宋_GB2312" w:cs="仿宋_GB2312" w:eastAsia="仿宋_GB2312"/>
                <w:sz w:val="18"/>
              </w:rPr>
              <w:t>2、具体工作内容：</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中标单位</w:t>
            </w:r>
            <w:r>
              <w:rPr>
                <w:rFonts w:ascii="仿宋_GB2312" w:hAnsi="仿宋_GB2312" w:cs="仿宋_GB2312" w:eastAsia="仿宋_GB2312"/>
                <w:sz w:val="18"/>
              </w:rPr>
              <w:t>根据</w:t>
            </w:r>
            <w:r>
              <w:rPr>
                <w:rFonts w:ascii="仿宋_GB2312" w:hAnsi="仿宋_GB2312" w:cs="仿宋_GB2312" w:eastAsia="仿宋_GB2312"/>
                <w:sz w:val="18"/>
              </w:rPr>
              <w:t>《东康路项目考古勘探工作报告</w:t>
            </w:r>
            <w:r>
              <w:rPr>
                <w:rFonts w:ascii="仿宋_GB2312" w:hAnsi="仿宋_GB2312" w:cs="仿宋_GB2312" w:eastAsia="仿宋_GB2312"/>
                <w:sz w:val="18"/>
              </w:rPr>
              <w:t>（</w:t>
            </w:r>
            <w:r>
              <w:rPr>
                <w:rFonts w:ascii="仿宋_GB2312" w:hAnsi="仿宋_GB2312" w:cs="仿宋_GB2312" w:eastAsia="仿宋_GB2312"/>
                <w:sz w:val="18"/>
              </w:rPr>
              <w:t>阶段性</w:t>
            </w:r>
            <w:r>
              <w:rPr>
                <w:rFonts w:ascii="仿宋_GB2312" w:hAnsi="仿宋_GB2312" w:cs="仿宋_GB2312" w:eastAsia="仿宋_GB2312"/>
                <w:sz w:val="18"/>
              </w:rPr>
              <w:t>）</w:t>
            </w:r>
            <w:r>
              <w:rPr>
                <w:rFonts w:ascii="仿宋_GB2312" w:hAnsi="仿宋_GB2312" w:cs="仿宋_GB2312" w:eastAsia="仿宋_GB2312"/>
                <w:sz w:val="18"/>
              </w:rPr>
              <w:t>》发现的</w:t>
            </w:r>
            <w:r>
              <w:rPr>
                <w:rFonts w:ascii="仿宋_GB2312" w:hAnsi="仿宋_GB2312" w:cs="仿宋_GB2312" w:eastAsia="仿宋_GB2312"/>
                <w:sz w:val="18"/>
              </w:rPr>
              <w:t>墓葬</w:t>
            </w:r>
            <w:r>
              <w:rPr>
                <w:rFonts w:ascii="仿宋_GB2312" w:hAnsi="仿宋_GB2312" w:cs="仿宋_GB2312" w:eastAsia="仿宋_GB2312"/>
                <w:sz w:val="18"/>
              </w:rPr>
              <w:t>12座、</w:t>
            </w:r>
            <w:r>
              <w:rPr>
                <w:rFonts w:ascii="仿宋_GB2312" w:hAnsi="仿宋_GB2312" w:cs="仿宋_GB2312" w:eastAsia="仿宋_GB2312"/>
                <w:sz w:val="18"/>
              </w:rPr>
              <w:t>灰坑</w:t>
            </w:r>
            <w:r>
              <w:rPr>
                <w:rFonts w:ascii="仿宋_GB2312" w:hAnsi="仿宋_GB2312" w:cs="仿宋_GB2312" w:eastAsia="仿宋_GB2312"/>
                <w:sz w:val="18"/>
              </w:rPr>
              <w:t>2</w:t>
            </w:r>
            <w:r>
              <w:rPr>
                <w:rFonts w:ascii="仿宋_GB2312" w:hAnsi="仿宋_GB2312" w:cs="仿宋_GB2312" w:eastAsia="仿宋_GB2312"/>
                <w:sz w:val="18"/>
              </w:rPr>
              <w:t>6</w:t>
            </w:r>
            <w:r>
              <w:rPr>
                <w:rFonts w:ascii="仿宋_GB2312" w:hAnsi="仿宋_GB2312" w:cs="仿宋_GB2312" w:eastAsia="仿宋_GB2312"/>
                <w:sz w:val="18"/>
              </w:rPr>
              <w:t>处、沟</w:t>
            </w:r>
            <w:r>
              <w:rPr>
                <w:rFonts w:ascii="仿宋_GB2312" w:hAnsi="仿宋_GB2312" w:cs="仿宋_GB2312" w:eastAsia="仿宋_GB2312"/>
                <w:sz w:val="18"/>
              </w:rPr>
              <w:t>1</w:t>
            </w:r>
            <w:r>
              <w:rPr>
                <w:rFonts w:ascii="仿宋_GB2312" w:hAnsi="仿宋_GB2312" w:cs="仿宋_GB2312" w:eastAsia="仿宋_GB2312"/>
                <w:sz w:val="18"/>
              </w:rPr>
              <w:t>条</w:t>
            </w:r>
            <w:r>
              <w:rPr>
                <w:rFonts w:ascii="仿宋_GB2312" w:hAnsi="仿宋_GB2312" w:cs="仿宋_GB2312" w:eastAsia="仿宋_GB2312"/>
                <w:sz w:val="18"/>
              </w:rPr>
              <w:t>、井</w:t>
            </w:r>
            <w:r>
              <w:rPr>
                <w:rFonts w:ascii="仿宋_GB2312" w:hAnsi="仿宋_GB2312" w:cs="仿宋_GB2312" w:eastAsia="仿宋_GB2312"/>
                <w:sz w:val="18"/>
              </w:rPr>
              <w:t>2口</w:t>
            </w:r>
            <w:r>
              <w:rPr>
                <w:rFonts w:ascii="仿宋_GB2312" w:hAnsi="仿宋_GB2312" w:cs="仿宋_GB2312" w:eastAsia="仿宋_GB2312"/>
                <w:sz w:val="18"/>
              </w:rPr>
              <w:t>组织考古发掘及出土文物现场保护等工作，</w:t>
            </w:r>
            <w:r>
              <w:rPr>
                <w:rFonts w:ascii="仿宋_GB2312" w:hAnsi="仿宋_GB2312" w:cs="仿宋_GB2312" w:eastAsia="仿宋_GB2312"/>
                <w:sz w:val="18"/>
              </w:rPr>
              <w:t>协助项目考古发掘技术单位完成</w:t>
            </w:r>
            <w:r>
              <w:rPr>
                <w:rFonts w:ascii="仿宋_GB2312" w:hAnsi="仿宋_GB2312" w:cs="仿宋_GB2312" w:eastAsia="仿宋_GB2312"/>
                <w:sz w:val="18"/>
              </w:rPr>
              <w:t>《东康路项目考古发掘工作报告》。</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考古发掘进场前，甲方负责清除现场植被，青苗补偿等，以便发掘工作施工前放线。中标单位</w:t>
            </w:r>
            <w:r>
              <w:rPr>
                <w:rFonts w:ascii="仿宋_GB2312" w:hAnsi="仿宋_GB2312" w:cs="仿宋_GB2312" w:eastAsia="仿宋_GB2312"/>
                <w:sz w:val="18"/>
              </w:rPr>
              <w:t>做好现场绿网覆盖等环境保护措施，以满足政府环境保护要求，排除可能干扰发掘工作的环境因素，以保证考古发掘工作的顺利进行。</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甲方协调当地各种关系，排除可能干扰发掘工作的各项人为因素，以保证考古发掘工作的顺利进行。中标单位协助发掘技术单位对接相关部门现场检查、验收等工作。</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在文物发掘保护技术单位的指导下，为考古发掘提供文物发掘保护、看护、配合发掘清理中的民工劳务工作。承担考古发掘所需的土方开挖和运输工程。作业过程中必须严格执行《中华人民共和国</w:t>
            </w:r>
            <w:r>
              <w:rPr>
                <w:rFonts w:ascii="仿宋_GB2312" w:hAnsi="仿宋_GB2312" w:cs="仿宋_GB2312" w:eastAsia="仿宋_GB2312"/>
                <w:sz w:val="18"/>
              </w:rPr>
              <w:t>民法典</w:t>
            </w:r>
            <w:r>
              <w:rPr>
                <w:rFonts w:ascii="仿宋_GB2312" w:hAnsi="仿宋_GB2312" w:cs="仿宋_GB2312" w:eastAsia="仿宋_GB2312"/>
                <w:sz w:val="18"/>
              </w:rPr>
              <w:t>》、《中华人民共和国文物保护法》以及国家文物局《田野考古工作规程》等有关法规，确保施工过程中古墓葬及地下文物不受破坏。科学发掘，精确记录，确保发掘质量。根据现场考古发掘的需要配备足够的民工、机械及现场管理人员，所有人员必须听从考古发掘现场负责人员的指挥，以满足现场文物发掘所需土方开挖、运输等工作。土方开挖运输后堆放场地需满足甲方要求。</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按照国家及行业对文物发掘现场的相关法律法规、行业规定，且在文物挖掘保护技术单位的指导下，承担考古发掘所需的安全保卫工作。在工地现场选取合适位置自行搭建安全保卫值班室，并自行负责现场考古发掘所需的临水、临电设施。在考古发掘区域四周设置围挡形成封闭的工作区域，并在工地四周及出入口设置安全警示标志，安装监控预警等设备。负责安排足够的专职安全保卫人员，昼夜</w:t>
            </w:r>
            <w:r>
              <w:rPr>
                <w:rFonts w:ascii="仿宋_GB2312" w:hAnsi="仿宋_GB2312" w:cs="仿宋_GB2312" w:eastAsia="仿宋_GB2312"/>
                <w:sz w:val="18"/>
              </w:rPr>
              <w:t>24小时在工地值班巡逻，并根据考古挖掘单位要求在每一个考古发掘单位上方架设标准数量、规格的摄像监控，做到全程无死角监控发掘过程。安全保卫工作必须严格按照《西安市文物保护考古研究院考古工地安全保卫工作管理规范》执行；并接受考古发掘单位工地负责人及公安科人员的检查督查；负责所有考古工地的安全记录（包括值班记录、人员车辆出入登记、所有录像监控记录数据等），并在工地结束后必须全部提交考古发掘单位公安科存档。</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按照国家及行业对文物发掘现场的相关法律法规、行业规定，且在文物挖掘保护技术单位的指导下，承担考古发掘所需的支护加固工作。做好发掘过程中必须的支护加固等工作，对考古发掘单位提出的问题和建议应及时整改到位，确保安全施工。</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做好现场文物保护，并全权负责管理好乙方文物挖掘清理保护过程中使用的机械、车辆及其他工器具以及乙方人员，包括施工现场和生活场所等凡是乙方人员活动的地方。规范人员及民工的生活、工作、言行，其人身安全和财务安全等均由乙方负责。配合甲方及考古发掘单位出具考古发掘所需所有资料。</w:t>
            </w:r>
          </w:p>
          <w:p>
            <w:pPr>
              <w:pStyle w:val="null3"/>
              <w:jc w:val="both"/>
            </w:pPr>
            <w:r>
              <w:rPr>
                <w:rFonts w:ascii="仿宋_GB2312" w:hAnsi="仿宋_GB2312" w:cs="仿宋_GB2312" w:eastAsia="仿宋_GB2312"/>
                <w:sz w:val="18"/>
              </w:rPr>
              <w:t>3、工期：自采购人通知供应商进场开展工作之日起，供应商</w:t>
            </w:r>
            <w:r>
              <w:rPr>
                <w:rFonts w:ascii="仿宋_GB2312" w:hAnsi="仿宋_GB2312" w:cs="仿宋_GB2312" w:eastAsia="仿宋_GB2312"/>
                <w:sz w:val="18"/>
              </w:rPr>
              <w:t>40</w:t>
            </w:r>
            <w:r>
              <w:rPr>
                <w:rFonts w:ascii="仿宋_GB2312" w:hAnsi="仿宋_GB2312" w:cs="仿宋_GB2312" w:eastAsia="仿宋_GB2312"/>
                <w:sz w:val="18"/>
              </w:rPr>
              <w:t>个工作日内完成考</w:t>
            </w:r>
            <w:r>
              <w:rPr>
                <w:rFonts w:ascii="仿宋_GB2312" w:hAnsi="仿宋_GB2312" w:cs="仿宋_GB2312" w:eastAsia="仿宋_GB2312"/>
                <w:sz w:val="18"/>
              </w:rPr>
              <w:t>古发掘劳务工作。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具有考古发掘劳务服务工作经验，供应商须提供针对本项目的详细人员配备情况。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自采购人通知供应商进场开展工作之日起，供应商40个工作日内完成考古发掘劳务工作。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合同签订并进场发掘后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发掘工作完成全部工程总量的50%并经甲方书面确认后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待发掘技术单位报请主管部门完成最终验收工作并取得相关文物报告后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（一）甲方违约责任 1、未按协议约定提供有关资料数据和工作条件,导致乙方无法按协议约定完成工作任务，甲方承担逾期责任。 2、按期支付合同费用，以便乙方顺利开展工作。 （二）乙方违约责任 1、如因乙方原因造成逾期未完工，每逾期一日，按合同费用总额的百分之一向甲方支付违约金，同时乙方应继续履行合同义务。逾期超过【10】日的，甲方有权选择解除合同，无论甲方是否选择解除合同，乙方均应向甲方支付合同费用总额的30%作为违约金，违约金不足以弥补甲方损失 的，乙方还应承担赔偿责任。如甲方选择解除合同的，则乙方应当于甲方通知解除合同的当日无条件退出施工现场。 2、乙方在履行合同过程中单方面终止或解除合同，应退还甲方已支付的全部合同费用，并向甲方支付相当于合同费用总额的30%的违约金，违约金不足以弥补甲方损失的，乙方还应承担赔偿责任。 3、本合同自生效之日起至权利义务终止后，双方都应遵循诚实信用原则履行通知、协助、保密等义务。因乙方原因导致文物勘探、挖掘、甲方和技术服务单位秘密等信息泄密，甲方有权终止协议并追究乙方人员法律责任，乙方还应向甲方支付合同费用总额的30%作为违约金，违约金不足以弥补甲方损失的，乙方还应承担赔偿责任。 4、乙方在施工过程中不按规范要求进行，被文物保护单位或监管部门提出通报，甲方有权解除 合同，乙方应向甲方支付合同费用总额的30%作为违约金，违约金不足以弥补甲方损失的，乙方还应承担赔偿责任。 5、乙方的其它违约行为，给甲方造成损失的，应负责赔偿。 6、施工过程中，乙方应配合该项目技术服务单位的发掘工作，若乙方与技术服务单位发生争议，由双方自行协商解决，与甲方无关。若因此影响项目推进，甲方有权追究乙方责任。 7、乙方在施工过程中，要服从市政关于扬尘管理的规定，承担违反相关规定造成的罚款。 8、乙方应积极响应政府要求，及时支付民工工资。如出现严重拖欠民工工资情况，甲方可以直接从乙方工程款中扣除。 （三）争议解决 甲、乙双方应本着积极配合、相互协作、精心组织、保证质量、按期完成的原则开展工作，重大事项双方应共同协商解决。因本协议履行发生争议，双方应协商解决。协商未果，双方有权向通过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拟投入本项目的人员配置情况表.docx 中小企业声明函 报价表 供应商认为应提交的相关资格证明材料.docx 响应文件封面 分项报价表.docx 供应商资格要求.docx 拟投入本项目的设备仪器表.docx 残疾人福利性单位声明函 标的清单 供应商近三年类似项目业绩证明材料.docx 响应函 商务、服务内容偏离表、技术响应偏差表.docx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供应商针对本项目编制合理的考古发掘施工方案。 方案内容科学合理、针对性强、可行性强、符合实际情况的计12分； 方案内容齐全、有一定针对性、可行性的计8分； 方案内容基本齐全，针对性、可行性一般计4分； 方案内容不齐全，没有可行性计2分。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供应商针对本项目提供安全保卫服务保障措施，包括组织保障、人员保障，以及在工作中突发的紧急安全措施等。 保障措施内容详细完善、规范、明确计12分； 保障措施内容齐全，基本规范、明确计8分； 保障措施基本完善计4分； 保障措施不完善计2分。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技术及环境保护措施</w:t>
            </w:r>
          </w:p>
        </w:tc>
        <w:tc>
          <w:tcPr>
            <w:tcW w:type="dxa" w:w="2492"/>
          </w:tcPr>
          <w:p>
            <w:pPr>
              <w:pStyle w:val="null3"/>
            </w:pPr>
            <w:r>
              <w:rPr>
                <w:rFonts w:ascii="仿宋_GB2312" w:hAnsi="仿宋_GB2312" w:cs="仿宋_GB2312" w:eastAsia="仿宋_GB2312"/>
              </w:rPr>
              <w:t>供应商针对本项目提供的技术组织、环境保护等方面的措施。 措施内容完善、技术组织先进、合理、环境保护措施有针对性的计10分； 技术组织较合理、环境保护措施有一定针对性的计8分； 技术组织一般、环境保护措施一般的计5分； 只提供了技术组织/环境保护措施之一的计2分。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拟投入本项目的工具设备情况</w:t>
            </w:r>
          </w:p>
        </w:tc>
        <w:tc>
          <w:tcPr>
            <w:tcW w:type="dxa" w:w="2492"/>
          </w:tcPr>
          <w:p>
            <w:pPr>
              <w:pStyle w:val="null3"/>
            </w:pPr>
            <w:r>
              <w:rPr>
                <w:rFonts w:ascii="仿宋_GB2312" w:hAnsi="仿宋_GB2312" w:cs="仿宋_GB2312" w:eastAsia="仿宋_GB2312"/>
              </w:rPr>
              <w:t>供应商针对本项目拟投入本项目的工具设备情况，包括设备新旧程度、数量等。 工具配置齐全，数量充足，满足工作需求计10分； 工具配置较齐全，基本满足工作需求计8分； 有一定的工具配置，设备陈旧计5分； 有工具配置，但不能满足项目需求计2分。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拟投入本项目的设备仪器表.docx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供应商根据项目工作特点，提供工作保密措施情况。 保密措施内容详尽合理、严谨性强计10分； 保密措施内容合理、较严谨计8分； 保密措施有一定内容的计5分； 有保密措施但内容欠缺计2分。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供应商根据项目工作特点（包括季节天气防洪防汛等各种突发事件）提供完善的的应急预案措施。 应急预案措施科学合理、全面，实施性强，有针对性计10分； 应急预案措施较科学合理、较全面，有一定实施性计8分； 应急预案措施基本合理、全面，实施性一般计5分； 有应急预案，实施性较差计2分。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工作配合保障措施</w:t>
            </w:r>
          </w:p>
        </w:tc>
        <w:tc>
          <w:tcPr>
            <w:tcW w:type="dxa" w:w="2492"/>
          </w:tcPr>
          <w:p>
            <w:pPr>
              <w:pStyle w:val="null3"/>
            </w:pPr>
            <w:r>
              <w:rPr>
                <w:rFonts w:ascii="仿宋_GB2312" w:hAnsi="仿宋_GB2312" w:cs="仿宋_GB2312" w:eastAsia="仿宋_GB2312"/>
              </w:rPr>
              <w:t>供应商与考古发掘单位工作配合的保障措施。 安排合理，内容详细计10分； 安排较合理，内容较详细计8分； 安排基本合理，内容一般计5分； 安排不合理，内容不足计2分。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供应商针对本项目提供的服务承诺，包括项目质量承诺、项目实施进度承诺、后期服务承诺、人员到位情况承诺等。 内容全面，针对性强、可行性强、符合实际情况的计10分； 内容比较全面，有一定针对性、可行性的计8分； 内容基本齐全，针对性、可行性一般计5分； 内容不齐全，可行性较差计2分。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提供2022年1月1日至今类似考古发掘劳务服务业绩（以加盖供应商公章的合同协议书复印件或扫描件作为评审依据），每提供一个业绩得2分，满分6分。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供应商近三年类似项目业绩证明材料.docx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满足磋商文件要求且最终磋商报价最低的供应商的价格为评标基准价，其价格分为满分。其他供应商的价格分统一按照下列公式计算： 磋商报价得分=（评标基准价/最终磋商报价）×价格权值×100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详见附件：拟投入本项目的设备仪器表.docx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