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55429">
      <w:pPr>
        <w:pStyle w:val="8"/>
        <w:jc w:val="center"/>
        <w:outlineLvl w:val="1"/>
        <w:rPr>
          <w:rFonts w:hint="eastAsia" w:ascii="宋体" w:hAnsi="宋体" w:eastAsia="宋体" w:cs="宋体"/>
          <w:color w:val="000000"/>
          <w:sz w:val="28"/>
          <w:szCs w:val="28"/>
          <w:highlight w:val="none"/>
        </w:rPr>
      </w:pPr>
      <w:bookmarkStart w:id="1" w:name="_GoBack"/>
      <w:r>
        <w:rPr>
          <w:rFonts w:hint="eastAsia" w:ascii="宋体" w:hAnsi="宋体" w:eastAsia="宋体" w:cs="宋体"/>
          <w:b/>
          <w:color w:val="000000"/>
          <w:sz w:val="28"/>
          <w:szCs w:val="28"/>
          <w:highlight w:val="none"/>
        </w:rPr>
        <w:t>拟签订采购合同文本</w:t>
      </w:r>
    </w:p>
    <w:bookmarkEnd w:id="1"/>
    <w:p w14:paraId="693C6616">
      <w:pPr>
        <w:pStyle w:val="5"/>
        <w:keepNext w:val="0"/>
        <w:keepLines w:val="0"/>
        <w:pageBreakBefore w:val="0"/>
        <w:wordWrap/>
        <w:overflowPunct/>
        <w:topLinePunct w:val="0"/>
        <w:bidi w:val="0"/>
        <w:spacing w:beforeAutospacing="0" w:after="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合同编号： </w:t>
      </w:r>
    </w:p>
    <w:p w14:paraId="1424FBE0">
      <w:pPr>
        <w:pStyle w:val="5"/>
        <w:keepNext w:val="0"/>
        <w:keepLines w:val="0"/>
        <w:pageBreakBefore w:val="0"/>
        <w:wordWrap/>
        <w:overflowPunct/>
        <w:topLinePunct w:val="0"/>
        <w:bidi w:val="0"/>
        <w:spacing w:beforeAutospacing="0" w:after="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签订地点： </w:t>
      </w:r>
    </w:p>
    <w:p w14:paraId="61E97066">
      <w:pPr>
        <w:pStyle w:val="5"/>
        <w:keepNext w:val="0"/>
        <w:keepLines w:val="0"/>
        <w:pageBreakBefore w:val="0"/>
        <w:wordWrap/>
        <w:overflowPunct/>
        <w:topLinePunct w:val="0"/>
        <w:bidi w:val="0"/>
        <w:spacing w:beforeAutospacing="0" w:after="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签订时间：</w:t>
      </w:r>
    </w:p>
    <w:p w14:paraId="7A1B0C37">
      <w:pPr>
        <w:pStyle w:val="5"/>
        <w:keepNext w:val="0"/>
        <w:keepLines w:val="0"/>
        <w:pageBreakBefore w:val="0"/>
        <w:wordWrap/>
        <w:overflowPunct/>
        <w:topLinePunct w:val="0"/>
        <w:bidi w:val="0"/>
        <w:spacing w:beforeAutospacing="0" w:after="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甲方（甲方）：</w:t>
      </w:r>
    </w:p>
    <w:p w14:paraId="26C1207E">
      <w:pPr>
        <w:pStyle w:val="5"/>
        <w:keepNext w:val="0"/>
        <w:keepLines w:val="0"/>
        <w:pageBreakBefore w:val="0"/>
        <w:wordWrap/>
        <w:overflowPunct/>
        <w:topLinePunct w:val="0"/>
        <w:bidi w:val="0"/>
        <w:spacing w:beforeAutospacing="0" w:after="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供应商（乙方）：</w:t>
      </w:r>
    </w:p>
    <w:p w14:paraId="57ED3D86">
      <w:pPr>
        <w:pStyle w:val="2"/>
        <w:keepNext w:val="0"/>
        <w:keepLines w:val="0"/>
        <w:pageBreakBefore w:val="0"/>
        <w:wordWrap/>
        <w:overflowPunct/>
        <w:topLinePunct w:val="0"/>
        <w:bidi w:val="0"/>
        <w:spacing w:beforeAutospacing="0" w:afterAutospacing="0" w:line="324"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根据《中华人民共和国政府采购法》及实施条例、《中华人民共和国民法典》和甲方</w:t>
      </w:r>
      <w:r>
        <w:rPr>
          <w:rFonts w:hint="eastAsia" w:ascii="宋体" w:hAnsi="宋体" w:eastAsia="宋体" w:cs="宋体"/>
          <w:color w:val="000000"/>
          <w:sz w:val="21"/>
          <w:szCs w:val="21"/>
          <w:highlight w:val="none"/>
          <w:u w:val="single"/>
        </w:rPr>
        <w:t xml:space="preserve"> （项目名称）（项目编号</w:t>
      </w:r>
      <w:r>
        <w:rPr>
          <w:rFonts w:hint="eastAsia" w:ascii="宋体" w:hAnsi="宋体" w:eastAsia="宋体" w:cs="宋体"/>
          <w:color w:val="000000"/>
          <w:sz w:val="21"/>
          <w:szCs w:val="21"/>
          <w:highlight w:val="none"/>
        </w:rPr>
        <w:t>）的</w:t>
      </w:r>
      <w:r>
        <w:rPr>
          <w:rFonts w:hint="eastAsia" w:ascii="宋体" w:hAnsi="宋体" w:eastAsia="宋体" w:cs="宋体"/>
          <w:color w:val="000000"/>
          <w:sz w:val="21"/>
          <w:szCs w:val="21"/>
          <w:highlight w:val="none"/>
          <w:lang w:val="en-US" w:eastAsia="zh-CN"/>
        </w:rPr>
        <w:t>采购</w:t>
      </w:r>
      <w:r>
        <w:rPr>
          <w:rFonts w:hint="eastAsia" w:ascii="宋体" w:hAnsi="宋体" w:eastAsia="宋体" w:cs="宋体"/>
          <w:color w:val="000000"/>
          <w:sz w:val="21"/>
          <w:szCs w:val="21"/>
          <w:highlight w:val="none"/>
        </w:rPr>
        <w:t>文件、响应文件等有关规定，为确保甲方采购项目的顺利实施，甲、乙双方在平等自愿原则下签订本合同，并共同遵守如下条款：</w:t>
      </w:r>
      <w:bookmarkStart w:id="0" w:name="_Toc14987"/>
    </w:p>
    <w:bookmarkEnd w:id="0"/>
    <w:p w14:paraId="66125B3F">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sz w:val="21"/>
          <w:szCs w:val="21"/>
          <w:highlight w:val="none"/>
          <w:lang w:val="en-US" w:eastAsia="zh-CN"/>
        </w:rPr>
      </w:pPr>
      <w:r>
        <w:rPr>
          <w:rFonts w:hint="eastAsia" w:ascii="宋体" w:hAnsi="宋体" w:eastAsia="宋体" w:cs="宋体"/>
          <w:b/>
          <w:color w:val="000000"/>
          <w:sz w:val="21"/>
          <w:szCs w:val="21"/>
          <w:highlight w:val="none"/>
        </w:rPr>
        <w:t xml:space="preserve">第一条 </w:t>
      </w:r>
      <w:r>
        <w:rPr>
          <w:rFonts w:hint="eastAsia" w:ascii="宋体" w:hAnsi="宋体" w:eastAsia="宋体" w:cs="宋体"/>
          <w:b/>
          <w:color w:val="000000"/>
          <w:sz w:val="21"/>
          <w:szCs w:val="21"/>
          <w:highlight w:val="none"/>
          <w:lang w:val="en-US" w:eastAsia="zh-CN"/>
        </w:rPr>
        <w:t>项目概况</w:t>
      </w:r>
    </w:p>
    <w:p w14:paraId="6D3D936A">
      <w:pPr>
        <w:keepNext w:val="0"/>
        <w:keepLines w:val="0"/>
        <w:pageBreakBefore w:val="0"/>
        <w:wordWrap/>
        <w:overflowPunct/>
        <w:topLinePunct w:val="0"/>
        <w:bidi w:val="0"/>
        <w:spacing w:beforeAutospacing="0" w:afterAutospacing="0" w:line="324" w:lineRule="auto"/>
        <w:ind w:right="-199" w:rightChars="-95"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乙</w:t>
      </w:r>
      <w:r>
        <w:rPr>
          <w:rFonts w:hint="eastAsia" w:ascii="宋体" w:hAnsi="宋体" w:eastAsia="宋体" w:cs="宋体"/>
          <w:color w:val="000000"/>
          <w:sz w:val="21"/>
          <w:szCs w:val="21"/>
          <w:highlight w:val="none"/>
          <w:lang w:val="en-US" w:eastAsia="zh-CN"/>
        </w:rPr>
        <w:t>方根据《陕西省人民政府办公厅关于推进新时代全省地方志事业高质量发展的实施意见》（陕政办发〔2024〕8号）要求，全省各市、县、区政府在2025年要全面启动第三轮修志工作。为确保雁塔区第三轮修志工作顺利启动，在规定期限内高质量完成修志任务，按照省、市相关专家意见，参照试点区县工作经验，拟对第三轮修志编纂人员进行聘用,依据具体岗位设置和招聘条件要求，提供 8 人的服务外包岗位，具体人员需求根据当年度实际工作量调整，配合并促进甲方完成修志目标；各项服务标准符合国家、省、市（行业）强制性标准</w:t>
      </w:r>
      <w:r>
        <w:rPr>
          <w:rFonts w:hint="eastAsia" w:ascii="宋体" w:hAnsi="宋体" w:eastAsia="宋体" w:cs="宋体"/>
          <w:color w:val="000000"/>
          <w:sz w:val="21"/>
          <w:szCs w:val="21"/>
          <w:highlight w:val="none"/>
        </w:rPr>
        <w:t>及</w:t>
      </w:r>
      <w:r>
        <w:rPr>
          <w:rFonts w:hint="eastAsia" w:ascii="宋体" w:hAnsi="宋体" w:eastAsia="宋体" w:cs="宋体"/>
          <w:color w:val="000000"/>
          <w:sz w:val="21"/>
          <w:szCs w:val="21"/>
          <w:highlight w:val="none"/>
          <w:lang w:val="en-US" w:eastAsia="zh-CN"/>
        </w:rPr>
        <w:t>甲方</w:t>
      </w:r>
      <w:r>
        <w:rPr>
          <w:rFonts w:hint="eastAsia" w:ascii="宋体" w:hAnsi="宋体" w:eastAsia="宋体" w:cs="宋体"/>
          <w:color w:val="000000"/>
          <w:sz w:val="21"/>
          <w:szCs w:val="21"/>
          <w:highlight w:val="none"/>
        </w:rPr>
        <w:t>要求。</w:t>
      </w:r>
    </w:p>
    <w:p w14:paraId="1ECBBB83">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sz w:val="21"/>
          <w:szCs w:val="21"/>
          <w:highlight w:val="none"/>
          <w:lang w:val="en-US" w:eastAsia="zh-CN"/>
        </w:rPr>
      </w:pPr>
      <w:r>
        <w:rPr>
          <w:rFonts w:hint="eastAsia" w:ascii="宋体" w:hAnsi="宋体" w:eastAsia="宋体" w:cs="宋体"/>
          <w:b/>
          <w:color w:val="000000"/>
          <w:sz w:val="21"/>
          <w:szCs w:val="21"/>
          <w:highlight w:val="none"/>
        </w:rPr>
        <w:t>第</w:t>
      </w:r>
      <w:r>
        <w:rPr>
          <w:rFonts w:hint="eastAsia" w:ascii="宋体" w:hAnsi="宋体" w:eastAsia="宋体" w:cs="宋体"/>
          <w:b/>
          <w:color w:val="000000"/>
          <w:sz w:val="21"/>
          <w:szCs w:val="21"/>
          <w:highlight w:val="none"/>
          <w:lang w:val="en-US" w:eastAsia="zh-CN"/>
        </w:rPr>
        <w:t>二</w:t>
      </w:r>
      <w:r>
        <w:rPr>
          <w:rFonts w:hint="eastAsia" w:ascii="宋体" w:hAnsi="宋体" w:eastAsia="宋体" w:cs="宋体"/>
          <w:b/>
          <w:color w:val="000000"/>
          <w:sz w:val="21"/>
          <w:szCs w:val="21"/>
          <w:highlight w:val="none"/>
        </w:rPr>
        <w:t xml:space="preserve">条 </w:t>
      </w:r>
      <w:r>
        <w:rPr>
          <w:rFonts w:hint="eastAsia" w:ascii="宋体" w:hAnsi="宋体" w:eastAsia="宋体" w:cs="宋体"/>
          <w:b/>
          <w:color w:val="000000"/>
          <w:sz w:val="21"/>
          <w:szCs w:val="21"/>
          <w:highlight w:val="none"/>
          <w:lang w:val="en-US" w:eastAsia="zh-CN"/>
        </w:rPr>
        <w:t>服务内容及要求</w:t>
      </w:r>
    </w:p>
    <w:p w14:paraId="7356DF07">
      <w:pPr>
        <w:pStyle w:val="8"/>
        <w:keepNext w:val="0"/>
        <w:keepLines w:val="0"/>
        <w:pageBreakBefore w:val="0"/>
        <w:kinsoku/>
        <w:wordWrap/>
        <w:overflowPunct/>
        <w:topLinePunct w:val="0"/>
        <w:autoSpaceDE/>
        <w:autoSpaceDN/>
        <w:bidi w:val="0"/>
        <w:adjustRightInd/>
        <w:snapToGrid/>
        <w:spacing w:beforeAutospacing="0" w:afterAutospacing="0" w:line="324" w:lineRule="auto"/>
        <w:ind w:firstLine="422"/>
        <w:jc w:val="both"/>
        <w:textAlignment w:val="auto"/>
        <w:rPr>
          <w:rFonts w:hint="eastAsia" w:ascii="宋体" w:hAnsi="宋体" w:eastAsia="宋体" w:cs="宋体"/>
          <w:b w:val="0"/>
          <w:bCs/>
          <w:color w:val="000000"/>
          <w:sz w:val="21"/>
          <w:szCs w:val="21"/>
          <w:highlight w:val="none"/>
          <w:lang w:val="en-US" w:eastAsia="zh-CN"/>
        </w:rPr>
      </w:pPr>
      <w:r>
        <w:rPr>
          <w:rFonts w:hint="eastAsia" w:ascii="宋体" w:hAnsi="宋体" w:eastAsia="宋体" w:cs="宋体"/>
          <w:b w:val="0"/>
          <w:bCs/>
          <w:color w:val="000000"/>
          <w:sz w:val="21"/>
          <w:szCs w:val="21"/>
          <w:highlight w:val="none"/>
          <w:lang w:val="en-US" w:eastAsia="zh-CN"/>
        </w:rPr>
        <w:t>1、服务内容：</w:t>
      </w:r>
      <w:r>
        <w:rPr>
          <w:rFonts w:hint="eastAsia" w:ascii="宋体" w:hAnsi="宋体" w:eastAsia="宋体" w:cs="宋体"/>
          <w:b w:val="0"/>
          <w:bCs/>
          <w:color w:val="000000"/>
          <w:sz w:val="21"/>
          <w:szCs w:val="21"/>
          <w:highlight w:val="none"/>
          <w:u w:val="single"/>
          <w:lang w:val="en-US" w:eastAsia="zh-CN"/>
        </w:rPr>
        <w:t xml:space="preserve">                         </w:t>
      </w:r>
    </w:p>
    <w:p w14:paraId="4E8ECAFB">
      <w:pPr>
        <w:pStyle w:val="8"/>
        <w:keepNext w:val="0"/>
        <w:keepLines w:val="0"/>
        <w:pageBreakBefore w:val="0"/>
        <w:kinsoku/>
        <w:wordWrap/>
        <w:overflowPunct/>
        <w:topLinePunct w:val="0"/>
        <w:autoSpaceDE/>
        <w:autoSpaceDN/>
        <w:bidi w:val="0"/>
        <w:adjustRightInd/>
        <w:snapToGrid/>
        <w:spacing w:beforeAutospacing="0" w:afterAutospacing="0" w:line="324" w:lineRule="auto"/>
        <w:ind w:firstLine="422"/>
        <w:jc w:val="both"/>
        <w:textAlignment w:val="auto"/>
        <w:rPr>
          <w:rFonts w:hint="eastAsia" w:ascii="宋体" w:hAnsi="宋体" w:eastAsia="宋体" w:cs="宋体"/>
          <w:b w:val="0"/>
          <w:bCs/>
          <w:color w:val="000000"/>
          <w:sz w:val="21"/>
          <w:szCs w:val="21"/>
          <w:highlight w:val="none"/>
          <w:u w:val="single"/>
          <w:lang w:val="en-US" w:eastAsia="zh-CN"/>
        </w:rPr>
      </w:pPr>
      <w:r>
        <w:rPr>
          <w:rFonts w:hint="eastAsia" w:ascii="宋体" w:hAnsi="宋体" w:eastAsia="宋体" w:cs="宋体"/>
          <w:b w:val="0"/>
          <w:bCs w:val="0"/>
          <w:color w:val="000000"/>
          <w:kern w:val="2"/>
          <w:sz w:val="21"/>
          <w:szCs w:val="21"/>
          <w:highlight w:val="none"/>
          <w:lang w:val="en-US" w:eastAsia="zh-CN" w:bidi="ar-SA"/>
        </w:rPr>
        <w:t>2、服务要求：</w:t>
      </w:r>
      <w:r>
        <w:rPr>
          <w:rFonts w:hint="eastAsia" w:ascii="宋体" w:hAnsi="宋体" w:eastAsia="宋体" w:cs="宋体"/>
          <w:b w:val="0"/>
          <w:bCs/>
          <w:color w:val="000000"/>
          <w:sz w:val="21"/>
          <w:szCs w:val="21"/>
          <w:highlight w:val="none"/>
          <w:u w:val="single"/>
          <w:lang w:val="en-US" w:eastAsia="zh-CN"/>
        </w:rPr>
        <w:t xml:space="preserve">                         </w:t>
      </w:r>
    </w:p>
    <w:p w14:paraId="7562EA99">
      <w:pPr>
        <w:pStyle w:val="8"/>
        <w:keepNext w:val="0"/>
        <w:keepLines w:val="0"/>
        <w:pageBreakBefore w:val="0"/>
        <w:kinsoku/>
        <w:wordWrap/>
        <w:overflowPunct/>
        <w:topLinePunct w:val="0"/>
        <w:autoSpaceDE/>
        <w:autoSpaceDN/>
        <w:bidi w:val="0"/>
        <w:adjustRightInd/>
        <w:snapToGrid/>
        <w:spacing w:beforeAutospacing="0" w:afterAutospacing="0" w:line="324" w:lineRule="auto"/>
        <w:jc w:val="both"/>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kern w:val="2"/>
          <w:sz w:val="21"/>
          <w:szCs w:val="21"/>
          <w:highlight w:val="none"/>
          <w:lang w:val="en-US" w:eastAsia="zh-CN" w:bidi="ar-SA"/>
        </w:rPr>
        <w:t>第三条 服务期限</w:t>
      </w:r>
    </w:p>
    <w:p w14:paraId="502037DF">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自</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日起至</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日止</w:t>
      </w:r>
    </w:p>
    <w:p w14:paraId="79AB2430">
      <w:pPr>
        <w:keepNext w:val="0"/>
        <w:keepLines w:val="0"/>
        <w:pageBreakBefore w:val="0"/>
        <w:wordWrap/>
        <w:overflowPunct/>
        <w:topLinePunct w:val="0"/>
        <w:bidi w:val="0"/>
        <w:spacing w:beforeAutospacing="0" w:afterAutospacing="0" w:line="324" w:lineRule="auto"/>
        <w:rPr>
          <w:rFonts w:hint="eastAsia" w:ascii="宋体" w:hAnsi="宋体" w:eastAsia="宋体" w:cs="宋体"/>
          <w:color w:val="000000"/>
          <w:spacing w:val="6"/>
          <w:kern w:val="60"/>
          <w:sz w:val="21"/>
          <w:szCs w:val="21"/>
          <w:highlight w:val="none"/>
        </w:rPr>
      </w:pPr>
      <w:r>
        <w:rPr>
          <w:rFonts w:hint="eastAsia" w:ascii="宋体" w:hAnsi="宋体" w:eastAsia="宋体" w:cs="宋体"/>
          <w:b/>
          <w:color w:val="000000"/>
          <w:sz w:val="21"/>
          <w:szCs w:val="21"/>
          <w:highlight w:val="none"/>
        </w:rPr>
        <w:t>第</w:t>
      </w:r>
      <w:r>
        <w:rPr>
          <w:rFonts w:hint="eastAsia" w:ascii="宋体" w:hAnsi="宋体" w:eastAsia="宋体" w:cs="宋体"/>
          <w:b/>
          <w:color w:val="000000"/>
          <w:sz w:val="21"/>
          <w:szCs w:val="21"/>
          <w:highlight w:val="none"/>
          <w:lang w:val="en-US" w:eastAsia="zh-CN"/>
        </w:rPr>
        <w:t>四</w:t>
      </w:r>
      <w:r>
        <w:rPr>
          <w:rFonts w:hint="eastAsia" w:ascii="宋体" w:hAnsi="宋体" w:eastAsia="宋体" w:cs="宋体"/>
          <w:b/>
          <w:color w:val="000000"/>
          <w:sz w:val="21"/>
          <w:szCs w:val="21"/>
          <w:highlight w:val="none"/>
        </w:rPr>
        <w:t>条  合同价款及支付方式</w:t>
      </w:r>
    </w:p>
    <w:p w14:paraId="7BEDA24E">
      <w:pPr>
        <w:keepNext w:val="0"/>
        <w:keepLines w:val="0"/>
        <w:pageBreakBefore w:val="0"/>
        <w:wordWrap/>
        <w:overflowPunct/>
        <w:topLinePunct w:val="0"/>
        <w:bidi w:val="0"/>
        <w:spacing w:beforeAutospacing="0" w:afterAutospacing="0" w:line="324" w:lineRule="auto"/>
        <w:ind w:firstLine="420" w:firstLineChars="200"/>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shd w:val="clear" w:color="auto" w:fill="FFFFFF"/>
        </w:rPr>
        <w:t>1、合同价款</w:t>
      </w:r>
      <w:r>
        <w:rPr>
          <w:rFonts w:hint="eastAsia" w:ascii="宋体" w:hAnsi="宋体" w:eastAsia="宋体" w:cs="宋体"/>
          <w:color w:val="000000"/>
          <w:sz w:val="21"/>
          <w:szCs w:val="21"/>
          <w:highlight w:val="none"/>
          <w:shd w:val="clear" w:color="auto" w:fill="FFFFFF"/>
          <w:lang w:val="en-US" w:eastAsia="zh-CN"/>
        </w:rPr>
        <w:t>暂定为</w:t>
      </w:r>
      <w:r>
        <w:rPr>
          <w:rFonts w:hint="eastAsia" w:ascii="宋体" w:hAnsi="宋体" w:eastAsia="宋体" w:cs="宋体"/>
          <w:color w:val="000000"/>
          <w:sz w:val="21"/>
          <w:szCs w:val="21"/>
          <w:highlight w:val="none"/>
          <w:shd w:val="clear" w:color="auto" w:fill="FFFFFF"/>
        </w:rPr>
        <w:t>人民币(大写)</w:t>
      </w:r>
      <w:r>
        <w:rPr>
          <w:rFonts w:hint="eastAsia" w:ascii="宋体" w:hAnsi="宋体" w:eastAsia="宋体" w:cs="宋体"/>
          <w:color w:val="000000"/>
          <w:sz w:val="21"/>
          <w:szCs w:val="21"/>
          <w:highlight w:val="none"/>
          <w:u w:val="single"/>
          <w:shd w:val="clear" w:color="auto" w:fill="FFFFFF"/>
        </w:rPr>
        <w:t xml:space="preserve">        </w:t>
      </w:r>
      <w:r>
        <w:rPr>
          <w:rFonts w:hint="eastAsia" w:ascii="宋体" w:hAnsi="宋体" w:eastAsia="宋体" w:cs="宋体"/>
          <w:color w:val="000000"/>
          <w:sz w:val="21"/>
          <w:szCs w:val="21"/>
          <w:highlight w:val="none"/>
          <w:shd w:val="clear" w:color="auto" w:fill="FFFFFF"/>
        </w:rPr>
        <w:t xml:space="preserve"> (¥</w:t>
      </w:r>
      <w:r>
        <w:rPr>
          <w:rFonts w:hint="eastAsia" w:ascii="宋体" w:hAnsi="宋体" w:eastAsia="宋体" w:cs="宋体"/>
          <w:color w:val="000000"/>
          <w:sz w:val="21"/>
          <w:szCs w:val="21"/>
          <w:highlight w:val="none"/>
          <w:u w:val="single"/>
          <w:shd w:val="clear" w:color="auto" w:fill="FFFFFF"/>
        </w:rPr>
        <w:t xml:space="preserve">      </w:t>
      </w:r>
      <w:r>
        <w:rPr>
          <w:rFonts w:hint="eastAsia" w:ascii="宋体" w:hAnsi="宋体" w:eastAsia="宋体" w:cs="宋体"/>
          <w:color w:val="000000"/>
          <w:sz w:val="21"/>
          <w:szCs w:val="21"/>
          <w:highlight w:val="none"/>
          <w:shd w:val="clear" w:color="auto" w:fill="FFFFFF"/>
        </w:rPr>
        <w:t xml:space="preserve"> )。</w:t>
      </w:r>
    </w:p>
    <w:p w14:paraId="7C7162B5">
      <w:pPr>
        <w:keepNext w:val="0"/>
        <w:keepLines w:val="0"/>
        <w:pageBreakBefore w:val="0"/>
        <w:wordWrap/>
        <w:overflowPunct/>
        <w:topLinePunct w:val="0"/>
        <w:bidi w:val="0"/>
        <w:spacing w:beforeAutospacing="0" w:afterAutospacing="0" w:line="324" w:lineRule="auto"/>
        <w:ind w:left="3812" w:firstLine="406"/>
        <w:rPr>
          <w:rFonts w:hint="eastAsia" w:ascii="宋体" w:hAnsi="宋体" w:eastAsia="宋体" w:cs="宋体"/>
          <w:b/>
          <w:bCs/>
          <w:color w:val="000000"/>
          <w:spacing w:val="-4"/>
          <w:sz w:val="21"/>
          <w:szCs w:val="21"/>
          <w:highlight w:val="none"/>
        </w:rPr>
      </w:pPr>
      <w:r>
        <w:rPr>
          <w:rFonts w:hint="eastAsia" w:ascii="宋体" w:hAnsi="宋体" w:eastAsia="宋体" w:cs="宋体"/>
          <w:b/>
          <w:bCs/>
          <w:color w:val="000000"/>
          <w:spacing w:val="-4"/>
          <w:sz w:val="21"/>
          <w:szCs w:val="21"/>
          <w:highlight w:val="none"/>
        </w:rPr>
        <w:t>服务清单一览表</w:t>
      </w:r>
    </w:p>
    <w:tbl>
      <w:tblPr>
        <w:tblStyle w:val="9"/>
        <w:tblW w:w="96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2578"/>
        <w:gridCol w:w="1985"/>
        <w:gridCol w:w="1276"/>
        <w:gridCol w:w="1417"/>
        <w:gridCol w:w="1559"/>
      </w:tblGrid>
      <w:tr w14:paraId="727C4C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21" w:type="dxa"/>
            <w:vAlign w:val="center"/>
          </w:tcPr>
          <w:p w14:paraId="1F926432">
            <w:pPr>
              <w:pStyle w:val="2"/>
              <w:keepNext w:val="0"/>
              <w:keepLines w:val="0"/>
              <w:pageBreakBefore w:val="0"/>
              <w:wordWrap/>
              <w:overflowPunct/>
              <w:topLinePunct w:val="0"/>
              <w:bidi w:val="0"/>
              <w:spacing w:beforeAutospacing="0" w:afterAutospacing="0" w:line="324" w:lineRule="auto"/>
              <w:ind w:firstLine="0"/>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序号</w:t>
            </w:r>
          </w:p>
        </w:tc>
        <w:tc>
          <w:tcPr>
            <w:tcW w:w="2578" w:type="dxa"/>
            <w:vAlign w:val="center"/>
          </w:tcPr>
          <w:p w14:paraId="4A1CB61F">
            <w:pPr>
              <w:pStyle w:val="2"/>
              <w:keepNext w:val="0"/>
              <w:keepLines w:val="0"/>
              <w:pageBreakBefore w:val="0"/>
              <w:wordWrap/>
              <w:overflowPunct/>
              <w:topLinePunct w:val="0"/>
              <w:bidi w:val="0"/>
              <w:spacing w:beforeAutospacing="0" w:afterAutospacing="0" w:line="324" w:lineRule="auto"/>
              <w:ind w:firstLine="0"/>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服务名称</w:t>
            </w:r>
          </w:p>
        </w:tc>
        <w:tc>
          <w:tcPr>
            <w:tcW w:w="1985" w:type="dxa"/>
            <w:vAlign w:val="center"/>
          </w:tcPr>
          <w:p w14:paraId="2295185A">
            <w:pPr>
              <w:pStyle w:val="2"/>
              <w:keepNext w:val="0"/>
              <w:keepLines w:val="0"/>
              <w:pageBreakBefore w:val="0"/>
              <w:wordWrap/>
              <w:overflowPunct/>
              <w:topLinePunct w:val="0"/>
              <w:bidi w:val="0"/>
              <w:spacing w:beforeAutospacing="0" w:afterAutospacing="0" w:line="324" w:lineRule="auto"/>
              <w:ind w:firstLine="0"/>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服务内容</w:t>
            </w:r>
          </w:p>
        </w:tc>
        <w:tc>
          <w:tcPr>
            <w:tcW w:w="1276" w:type="dxa"/>
            <w:vAlign w:val="center"/>
          </w:tcPr>
          <w:p w14:paraId="72144447">
            <w:pPr>
              <w:pStyle w:val="2"/>
              <w:keepNext w:val="0"/>
              <w:keepLines w:val="0"/>
              <w:pageBreakBefore w:val="0"/>
              <w:wordWrap/>
              <w:overflowPunct/>
              <w:topLinePunct w:val="0"/>
              <w:bidi w:val="0"/>
              <w:spacing w:beforeAutospacing="0" w:afterAutospacing="0" w:line="324" w:lineRule="auto"/>
              <w:ind w:firstLine="0"/>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计量单位</w:t>
            </w:r>
          </w:p>
        </w:tc>
        <w:tc>
          <w:tcPr>
            <w:tcW w:w="1417" w:type="dxa"/>
            <w:vAlign w:val="center"/>
          </w:tcPr>
          <w:p w14:paraId="71067F6D">
            <w:pPr>
              <w:pStyle w:val="2"/>
              <w:keepNext w:val="0"/>
              <w:keepLines w:val="0"/>
              <w:pageBreakBefore w:val="0"/>
              <w:wordWrap/>
              <w:overflowPunct/>
              <w:topLinePunct w:val="0"/>
              <w:bidi w:val="0"/>
              <w:spacing w:beforeAutospacing="0" w:afterAutospacing="0" w:line="324" w:lineRule="auto"/>
              <w:ind w:firstLine="0"/>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数量</w:t>
            </w:r>
          </w:p>
        </w:tc>
        <w:tc>
          <w:tcPr>
            <w:tcW w:w="1559" w:type="dxa"/>
            <w:vAlign w:val="center"/>
          </w:tcPr>
          <w:p w14:paraId="1BB55116">
            <w:pPr>
              <w:pStyle w:val="2"/>
              <w:keepNext w:val="0"/>
              <w:keepLines w:val="0"/>
              <w:pageBreakBefore w:val="0"/>
              <w:wordWrap/>
              <w:overflowPunct/>
              <w:topLinePunct w:val="0"/>
              <w:bidi w:val="0"/>
              <w:spacing w:beforeAutospacing="0" w:afterAutospacing="0" w:line="324" w:lineRule="auto"/>
              <w:ind w:firstLine="0"/>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服务费用</w:t>
            </w:r>
          </w:p>
        </w:tc>
      </w:tr>
      <w:tr w14:paraId="70D796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17D91364">
            <w:pPr>
              <w:pStyle w:val="10"/>
              <w:keepNext w:val="0"/>
              <w:keepLines w:val="0"/>
              <w:pageBreakBefore w:val="0"/>
              <w:wordWrap/>
              <w:overflowPunct/>
              <w:topLinePunct w:val="0"/>
              <w:bidi w:val="0"/>
              <w:spacing w:before="0" w:beforeAutospacing="0" w:afterAutospacing="0" w:line="324" w:lineRule="auto"/>
              <w:ind w:firstLine="210"/>
              <w:rPr>
                <w:rFonts w:hint="eastAsia" w:ascii="宋体" w:hAnsi="宋体" w:eastAsia="宋体" w:cs="宋体"/>
                <w:snapToGrid/>
                <w:color w:val="000000"/>
                <w:sz w:val="21"/>
                <w:szCs w:val="21"/>
                <w:highlight w:val="none"/>
              </w:rPr>
            </w:pPr>
          </w:p>
        </w:tc>
        <w:tc>
          <w:tcPr>
            <w:tcW w:w="2578" w:type="dxa"/>
            <w:vAlign w:val="center"/>
          </w:tcPr>
          <w:p w14:paraId="5C5697B0">
            <w:pPr>
              <w:pStyle w:val="10"/>
              <w:keepNext w:val="0"/>
              <w:keepLines w:val="0"/>
              <w:pageBreakBefore w:val="0"/>
              <w:wordWrap/>
              <w:overflowPunct/>
              <w:topLinePunct w:val="0"/>
              <w:bidi w:val="0"/>
              <w:spacing w:before="0" w:beforeAutospacing="0" w:afterAutospacing="0" w:line="324" w:lineRule="auto"/>
              <w:ind w:firstLine="210"/>
              <w:rPr>
                <w:rFonts w:hint="eastAsia" w:ascii="宋体" w:hAnsi="宋体" w:eastAsia="宋体" w:cs="宋体"/>
                <w:snapToGrid/>
                <w:color w:val="000000"/>
                <w:sz w:val="21"/>
                <w:szCs w:val="21"/>
                <w:highlight w:val="none"/>
              </w:rPr>
            </w:pPr>
          </w:p>
        </w:tc>
        <w:tc>
          <w:tcPr>
            <w:tcW w:w="1985" w:type="dxa"/>
            <w:vAlign w:val="center"/>
          </w:tcPr>
          <w:p w14:paraId="57465B90">
            <w:pPr>
              <w:pStyle w:val="10"/>
              <w:keepNext w:val="0"/>
              <w:keepLines w:val="0"/>
              <w:pageBreakBefore w:val="0"/>
              <w:wordWrap/>
              <w:overflowPunct/>
              <w:topLinePunct w:val="0"/>
              <w:bidi w:val="0"/>
              <w:spacing w:before="0" w:beforeAutospacing="0" w:afterAutospacing="0" w:line="324" w:lineRule="auto"/>
              <w:ind w:firstLine="210"/>
              <w:rPr>
                <w:rFonts w:hint="eastAsia" w:ascii="宋体" w:hAnsi="宋体" w:eastAsia="宋体" w:cs="宋体"/>
                <w:snapToGrid/>
                <w:color w:val="000000"/>
                <w:sz w:val="21"/>
                <w:szCs w:val="21"/>
                <w:highlight w:val="none"/>
              </w:rPr>
            </w:pPr>
          </w:p>
        </w:tc>
        <w:tc>
          <w:tcPr>
            <w:tcW w:w="1276" w:type="dxa"/>
            <w:vAlign w:val="center"/>
          </w:tcPr>
          <w:p w14:paraId="3F628C4B">
            <w:pPr>
              <w:keepNext w:val="0"/>
              <w:keepLines w:val="0"/>
              <w:pageBreakBefore w:val="0"/>
              <w:wordWrap/>
              <w:overflowPunct/>
              <w:topLinePunct w:val="0"/>
              <w:bidi w:val="0"/>
              <w:spacing w:beforeAutospacing="0" w:afterAutospacing="0" w:line="324" w:lineRule="auto"/>
              <w:ind w:left="5250" w:right="-199" w:firstLine="420"/>
              <w:jc w:val="center"/>
              <w:rPr>
                <w:rFonts w:hint="eastAsia" w:ascii="宋体" w:hAnsi="宋体" w:eastAsia="宋体" w:cs="宋体"/>
                <w:bCs/>
                <w:snapToGrid w:val="0"/>
                <w:color w:val="000000"/>
                <w:kern w:val="0"/>
                <w:sz w:val="21"/>
                <w:szCs w:val="21"/>
                <w:highlight w:val="none"/>
              </w:rPr>
            </w:pPr>
            <w:r>
              <w:rPr>
                <w:rFonts w:hint="eastAsia" w:ascii="宋体" w:hAnsi="宋体" w:eastAsia="宋体" w:cs="宋体"/>
                <w:bCs/>
                <w:snapToGrid w:val="0"/>
                <w:color w:val="000000"/>
                <w:kern w:val="0"/>
                <w:sz w:val="21"/>
                <w:szCs w:val="21"/>
                <w:highlight w:val="none"/>
              </w:rPr>
              <w:t>个</w:t>
            </w:r>
          </w:p>
        </w:tc>
        <w:tc>
          <w:tcPr>
            <w:tcW w:w="1417" w:type="dxa"/>
            <w:vAlign w:val="center"/>
          </w:tcPr>
          <w:p w14:paraId="504F2966">
            <w:pPr>
              <w:keepNext w:val="0"/>
              <w:keepLines w:val="0"/>
              <w:pageBreakBefore w:val="0"/>
              <w:wordWrap/>
              <w:overflowPunct/>
              <w:topLinePunct w:val="0"/>
              <w:bidi w:val="0"/>
              <w:spacing w:beforeAutospacing="0" w:afterAutospacing="0" w:line="324" w:lineRule="auto"/>
              <w:ind w:left="5250" w:right="-199" w:firstLine="420"/>
              <w:jc w:val="center"/>
              <w:rPr>
                <w:rFonts w:hint="eastAsia" w:ascii="宋体" w:hAnsi="宋体" w:eastAsia="宋体" w:cs="宋体"/>
                <w:bCs/>
                <w:snapToGrid w:val="0"/>
                <w:color w:val="000000"/>
                <w:kern w:val="0"/>
                <w:sz w:val="21"/>
                <w:szCs w:val="21"/>
                <w:highlight w:val="none"/>
              </w:rPr>
            </w:pPr>
          </w:p>
        </w:tc>
        <w:tc>
          <w:tcPr>
            <w:tcW w:w="1559" w:type="dxa"/>
            <w:vAlign w:val="center"/>
          </w:tcPr>
          <w:p w14:paraId="37EACA5B">
            <w:pPr>
              <w:keepNext w:val="0"/>
              <w:keepLines w:val="0"/>
              <w:pageBreakBefore w:val="0"/>
              <w:wordWrap/>
              <w:overflowPunct/>
              <w:topLinePunct w:val="0"/>
              <w:bidi w:val="0"/>
              <w:spacing w:beforeAutospacing="0" w:afterAutospacing="0" w:line="324" w:lineRule="auto"/>
              <w:ind w:left="5250" w:right="-199" w:firstLine="420"/>
              <w:jc w:val="center"/>
              <w:rPr>
                <w:rFonts w:hint="eastAsia" w:ascii="宋体" w:hAnsi="宋体" w:eastAsia="宋体" w:cs="宋体"/>
                <w:bCs/>
                <w:snapToGrid w:val="0"/>
                <w:color w:val="000000"/>
                <w:kern w:val="0"/>
                <w:sz w:val="21"/>
                <w:szCs w:val="21"/>
                <w:highlight w:val="none"/>
              </w:rPr>
            </w:pPr>
          </w:p>
        </w:tc>
      </w:tr>
      <w:tr w14:paraId="4A9E3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4A97BCEE">
            <w:pPr>
              <w:pStyle w:val="10"/>
              <w:keepNext w:val="0"/>
              <w:keepLines w:val="0"/>
              <w:pageBreakBefore w:val="0"/>
              <w:wordWrap/>
              <w:overflowPunct/>
              <w:topLinePunct w:val="0"/>
              <w:bidi w:val="0"/>
              <w:spacing w:before="0" w:beforeAutospacing="0" w:afterAutospacing="0" w:line="324" w:lineRule="auto"/>
              <w:ind w:firstLine="210"/>
              <w:rPr>
                <w:rFonts w:hint="eastAsia" w:ascii="宋体" w:hAnsi="宋体" w:eastAsia="宋体" w:cs="宋体"/>
                <w:snapToGrid/>
                <w:color w:val="000000"/>
                <w:sz w:val="21"/>
                <w:szCs w:val="21"/>
                <w:highlight w:val="none"/>
              </w:rPr>
            </w:pPr>
          </w:p>
        </w:tc>
        <w:tc>
          <w:tcPr>
            <w:tcW w:w="2578" w:type="dxa"/>
            <w:vAlign w:val="center"/>
          </w:tcPr>
          <w:p w14:paraId="26429F49">
            <w:pPr>
              <w:pStyle w:val="10"/>
              <w:keepNext w:val="0"/>
              <w:keepLines w:val="0"/>
              <w:pageBreakBefore w:val="0"/>
              <w:wordWrap/>
              <w:overflowPunct/>
              <w:topLinePunct w:val="0"/>
              <w:bidi w:val="0"/>
              <w:spacing w:before="0" w:beforeAutospacing="0" w:afterAutospacing="0" w:line="324" w:lineRule="auto"/>
              <w:ind w:firstLine="210"/>
              <w:rPr>
                <w:rFonts w:hint="eastAsia" w:ascii="宋体" w:hAnsi="宋体" w:eastAsia="宋体" w:cs="宋体"/>
                <w:snapToGrid/>
                <w:color w:val="000000"/>
                <w:sz w:val="21"/>
                <w:szCs w:val="21"/>
                <w:highlight w:val="none"/>
              </w:rPr>
            </w:pPr>
          </w:p>
        </w:tc>
        <w:tc>
          <w:tcPr>
            <w:tcW w:w="1985" w:type="dxa"/>
            <w:vAlign w:val="center"/>
          </w:tcPr>
          <w:p w14:paraId="668B4126">
            <w:pPr>
              <w:pStyle w:val="10"/>
              <w:keepNext w:val="0"/>
              <w:keepLines w:val="0"/>
              <w:pageBreakBefore w:val="0"/>
              <w:wordWrap/>
              <w:overflowPunct/>
              <w:topLinePunct w:val="0"/>
              <w:bidi w:val="0"/>
              <w:spacing w:before="0" w:beforeAutospacing="0" w:afterAutospacing="0" w:line="324" w:lineRule="auto"/>
              <w:ind w:firstLine="210"/>
              <w:rPr>
                <w:rFonts w:hint="eastAsia" w:ascii="宋体" w:hAnsi="宋体" w:eastAsia="宋体" w:cs="宋体"/>
                <w:snapToGrid/>
                <w:color w:val="000000"/>
                <w:sz w:val="21"/>
                <w:szCs w:val="21"/>
                <w:highlight w:val="none"/>
              </w:rPr>
            </w:pPr>
          </w:p>
        </w:tc>
        <w:tc>
          <w:tcPr>
            <w:tcW w:w="1276" w:type="dxa"/>
            <w:vAlign w:val="center"/>
          </w:tcPr>
          <w:p w14:paraId="54B996EE">
            <w:pPr>
              <w:keepNext w:val="0"/>
              <w:keepLines w:val="0"/>
              <w:pageBreakBefore w:val="0"/>
              <w:wordWrap/>
              <w:overflowPunct/>
              <w:topLinePunct w:val="0"/>
              <w:bidi w:val="0"/>
              <w:spacing w:beforeAutospacing="0" w:afterAutospacing="0" w:line="324" w:lineRule="auto"/>
              <w:ind w:left="5250" w:right="-199" w:firstLine="420"/>
              <w:jc w:val="center"/>
              <w:rPr>
                <w:rFonts w:hint="eastAsia" w:ascii="宋体" w:hAnsi="宋体" w:eastAsia="宋体" w:cs="宋体"/>
                <w:bCs/>
                <w:snapToGrid w:val="0"/>
                <w:color w:val="000000"/>
                <w:kern w:val="0"/>
                <w:sz w:val="21"/>
                <w:szCs w:val="21"/>
                <w:highlight w:val="none"/>
              </w:rPr>
            </w:pPr>
          </w:p>
        </w:tc>
        <w:tc>
          <w:tcPr>
            <w:tcW w:w="1417" w:type="dxa"/>
            <w:vAlign w:val="center"/>
          </w:tcPr>
          <w:p w14:paraId="3DE3396D">
            <w:pPr>
              <w:keepNext w:val="0"/>
              <w:keepLines w:val="0"/>
              <w:pageBreakBefore w:val="0"/>
              <w:wordWrap/>
              <w:overflowPunct/>
              <w:topLinePunct w:val="0"/>
              <w:bidi w:val="0"/>
              <w:spacing w:beforeAutospacing="0" w:afterAutospacing="0" w:line="324" w:lineRule="auto"/>
              <w:ind w:left="5250" w:right="-199" w:firstLine="420"/>
              <w:jc w:val="center"/>
              <w:rPr>
                <w:rFonts w:hint="eastAsia" w:ascii="宋体" w:hAnsi="宋体" w:eastAsia="宋体" w:cs="宋体"/>
                <w:bCs/>
                <w:snapToGrid w:val="0"/>
                <w:color w:val="000000"/>
                <w:kern w:val="0"/>
                <w:sz w:val="21"/>
                <w:szCs w:val="21"/>
                <w:highlight w:val="none"/>
              </w:rPr>
            </w:pPr>
          </w:p>
        </w:tc>
        <w:tc>
          <w:tcPr>
            <w:tcW w:w="1559" w:type="dxa"/>
            <w:vAlign w:val="center"/>
          </w:tcPr>
          <w:p w14:paraId="0FD34186">
            <w:pPr>
              <w:keepNext w:val="0"/>
              <w:keepLines w:val="0"/>
              <w:pageBreakBefore w:val="0"/>
              <w:wordWrap/>
              <w:overflowPunct/>
              <w:topLinePunct w:val="0"/>
              <w:bidi w:val="0"/>
              <w:spacing w:beforeAutospacing="0" w:afterAutospacing="0" w:line="324" w:lineRule="auto"/>
              <w:ind w:left="5250" w:right="-199" w:firstLine="420"/>
              <w:jc w:val="center"/>
              <w:rPr>
                <w:rFonts w:hint="eastAsia" w:ascii="宋体" w:hAnsi="宋体" w:eastAsia="宋体" w:cs="宋体"/>
                <w:bCs/>
                <w:snapToGrid w:val="0"/>
                <w:color w:val="000000"/>
                <w:kern w:val="0"/>
                <w:sz w:val="21"/>
                <w:szCs w:val="21"/>
                <w:highlight w:val="none"/>
              </w:rPr>
            </w:pPr>
          </w:p>
        </w:tc>
      </w:tr>
      <w:tr w14:paraId="3C5FE6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6" w:hRule="atLeast"/>
          <w:jc w:val="center"/>
        </w:trPr>
        <w:tc>
          <w:tcPr>
            <w:tcW w:w="9636" w:type="dxa"/>
            <w:gridSpan w:val="6"/>
            <w:vAlign w:val="center"/>
          </w:tcPr>
          <w:p w14:paraId="152AB587">
            <w:pPr>
              <w:keepNext w:val="0"/>
              <w:keepLines w:val="0"/>
              <w:pageBreakBefore w:val="0"/>
              <w:widowControl w:val="0"/>
              <w:kinsoku/>
              <w:wordWrap/>
              <w:overflowPunct/>
              <w:topLinePunct w:val="0"/>
              <w:autoSpaceDE/>
              <w:autoSpaceDN/>
              <w:bidi w:val="0"/>
              <w:adjustRightInd/>
              <w:snapToGrid/>
              <w:spacing w:beforeAutospacing="0" w:afterAutospacing="0" w:line="324" w:lineRule="auto"/>
              <w:textAlignment w:val="auto"/>
              <w:rPr>
                <w:rFonts w:hint="eastAsia" w:ascii="宋体" w:hAnsi="宋体" w:eastAsia="宋体" w:cs="宋体"/>
                <w:color w:val="000000"/>
                <w:kern w:val="0"/>
                <w:sz w:val="21"/>
                <w:szCs w:val="21"/>
                <w:highlight w:val="none"/>
              </w:rPr>
            </w:pPr>
            <w:r>
              <w:rPr>
                <w:rFonts w:hint="eastAsia" w:ascii="宋体" w:hAnsi="宋体" w:eastAsia="宋体" w:cs="宋体"/>
                <w:b/>
                <w:bCs/>
                <w:color w:val="000000"/>
                <w:kern w:val="0"/>
                <w:sz w:val="21"/>
                <w:szCs w:val="21"/>
                <w:highlight w:val="none"/>
              </w:rPr>
              <w:t>注：</w:t>
            </w:r>
            <w:r>
              <w:rPr>
                <w:rFonts w:hint="eastAsia" w:ascii="宋体" w:hAnsi="宋体" w:eastAsia="宋体" w:cs="宋体"/>
                <w:b w:val="0"/>
                <w:bCs w:val="0"/>
                <w:color w:val="000000"/>
                <w:kern w:val="0"/>
                <w:sz w:val="21"/>
                <w:szCs w:val="21"/>
                <w:highlight w:val="none"/>
                <w:lang w:val="en-US" w:eastAsia="zh-CN"/>
              </w:rPr>
              <w:t>合同</w:t>
            </w:r>
            <w:r>
              <w:rPr>
                <w:rFonts w:hint="eastAsia" w:ascii="宋体" w:hAnsi="宋体" w:eastAsia="宋体" w:cs="宋体"/>
                <w:i w:val="0"/>
                <w:iCs w:val="0"/>
                <w:caps w:val="0"/>
                <w:color w:val="000000"/>
                <w:spacing w:val="0"/>
                <w:sz w:val="21"/>
                <w:szCs w:val="21"/>
                <w:highlight w:val="none"/>
                <w:shd w:val="clear" w:color="auto" w:fill="FFFFFF"/>
                <w:lang w:val="en-US" w:eastAsia="zh-CN"/>
              </w:rPr>
              <w:t>价款是完成全部服务内容</w:t>
            </w:r>
            <w:r>
              <w:rPr>
                <w:rFonts w:hint="eastAsia" w:ascii="宋体" w:hAnsi="宋体" w:eastAsia="宋体" w:cs="宋体"/>
                <w:b w:val="0"/>
                <w:bCs w:val="0"/>
                <w:color w:val="000000"/>
                <w:kern w:val="0"/>
                <w:sz w:val="21"/>
                <w:szCs w:val="21"/>
                <w:highlight w:val="none"/>
              </w:rPr>
              <w:t>所需的直接</w:t>
            </w:r>
            <w:r>
              <w:rPr>
                <w:rFonts w:hint="eastAsia" w:ascii="宋体" w:hAnsi="宋体" w:eastAsia="宋体" w:cs="宋体"/>
                <w:b w:val="0"/>
                <w:bCs w:val="0"/>
                <w:color w:val="000000"/>
                <w:kern w:val="0"/>
                <w:sz w:val="21"/>
                <w:szCs w:val="21"/>
                <w:highlight w:val="none"/>
                <w:lang w:eastAsia="zh-CN"/>
              </w:rPr>
              <w:t>费用</w:t>
            </w:r>
            <w:r>
              <w:rPr>
                <w:rFonts w:hint="eastAsia" w:ascii="宋体" w:hAnsi="宋体" w:eastAsia="宋体" w:cs="宋体"/>
                <w:b w:val="0"/>
                <w:bCs w:val="0"/>
                <w:color w:val="000000"/>
                <w:kern w:val="0"/>
                <w:sz w:val="21"/>
                <w:szCs w:val="21"/>
                <w:highlight w:val="none"/>
              </w:rPr>
              <w:t>、间接费、利润、税金及其它相关的一切费用，包括但不限于：</w:t>
            </w:r>
            <w:r>
              <w:rPr>
                <w:rFonts w:hint="eastAsia" w:ascii="宋体" w:hAnsi="宋体" w:eastAsia="宋体" w:cs="宋体"/>
                <w:i w:val="0"/>
                <w:iCs w:val="0"/>
                <w:caps w:val="0"/>
                <w:color w:val="000000"/>
                <w:spacing w:val="0"/>
                <w:sz w:val="21"/>
                <w:szCs w:val="21"/>
                <w:highlight w:val="none"/>
                <w:shd w:val="clear" w:color="auto" w:fill="FFFFFF"/>
                <w:lang w:val="en-US" w:eastAsia="zh-CN"/>
              </w:rPr>
              <w:t>服务费、人工费、设备使用费、资料费、管理费、</w:t>
            </w:r>
            <w:r>
              <w:rPr>
                <w:rFonts w:hint="eastAsia" w:ascii="宋体" w:hAnsi="宋体" w:eastAsia="宋体" w:cs="宋体"/>
                <w:b w:val="0"/>
                <w:bCs w:val="0"/>
                <w:color w:val="000000"/>
                <w:kern w:val="0"/>
                <w:sz w:val="21"/>
                <w:szCs w:val="21"/>
                <w:highlight w:val="none"/>
              </w:rPr>
              <w:t>验收费、利润</w:t>
            </w:r>
            <w:r>
              <w:rPr>
                <w:rFonts w:hint="eastAsia" w:ascii="宋体" w:hAnsi="宋体" w:eastAsia="宋体" w:cs="宋体"/>
                <w:b w:val="0"/>
                <w:bCs w:val="0"/>
                <w:color w:val="000000"/>
                <w:kern w:val="0"/>
                <w:sz w:val="21"/>
                <w:szCs w:val="21"/>
                <w:highlight w:val="none"/>
                <w:lang w:eastAsia="zh-CN"/>
              </w:rPr>
              <w:t>、</w:t>
            </w:r>
            <w:r>
              <w:rPr>
                <w:rFonts w:hint="eastAsia" w:ascii="宋体" w:hAnsi="宋体" w:eastAsia="宋体" w:cs="宋体"/>
                <w:b w:val="0"/>
                <w:bCs w:val="0"/>
                <w:color w:val="000000"/>
                <w:kern w:val="0"/>
                <w:sz w:val="21"/>
                <w:szCs w:val="21"/>
                <w:highlight w:val="none"/>
                <w:lang w:val="en-US" w:eastAsia="zh-CN"/>
              </w:rPr>
              <w:t>税金</w:t>
            </w:r>
            <w:r>
              <w:rPr>
                <w:rFonts w:hint="eastAsia" w:ascii="宋体" w:hAnsi="宋体" w:eastAsia="宋体" w:cs="宋体"/>
                <w:b w:val="0"/>
                <w:bCs w:val="0"/>
                <w:color w:val="000000"/>
                <w:kern w:val="0"/>
                <w:sz w:val="21"/>
                <w:szCs w:val="21"/>
                <w:highlight w:val="none"/>
              </w:rPr>
              <w:t>及不可预见费等全部费用；在提供服务的过程中的任何遗漏，均由乙方免费提供，甲方将不再支付任何费用。</w:t>
            </w:r>
          </w:p>
        </w:tc>
      </w:tr>
    </w:tbl>
    <w:p w14:paraId="3B09BBBF">
      <w:pPr>
        <w:keepNext w:val="0"/>
        <w:keepLines w:val="0"/>
        <w:pageBreakBefore w:val="0"/>
        <w:widowControl w:val="0"/>
        <w:kinsoku/>
        <w:wordWrap/>
        <w:overflowPunct/>
        <w:topLinePunct w:val="0"/>
        <w:autoSpaceDE/>
        <w:autoSpaceDN/>
        <w:bidi w:val="0"/>
        <w:adjustRightInd/>
        <w:snapToGrid/>
        <w:spacing w:beforeAutospacing="0" w:afterAutospacing="0" w:line="324" w:lineRule="auto"/>
        <w:ind w:left="11" w:right="-199"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2、根据实际人数及在岗时间据实结算</w:t>
      </w:r>
      <w:r>
        <w:rPr>
          <w:rFonts w:hint="eastAsia" w:ascii="宋体" w:hAnsi="宋体" w:eastAsia="宋体" w:cs="宋体"/>
          <w:color w:val="000000"/>
          <w:sz w:val="21"/>
          <w:szCs w:val="21"/>
          <w:highlight w:val="none"/>
          <w:lang w:val="en-US" w:eastAsia="zh-CN"/>
        </w:rPr>
        <w:t>服务费</w:t>
      </w:r>
      <w:r>
        <w:rPr>
          <w:rFonts w:hint="eastAsia" w:ascii="宋体" w:hAnsi="宋体" w:eastAsia="宋体" w:cs="宋体"/>
          <w:color w:val="000000"/>
          <w:sz w:val="21"/>
          <w:szCs w:val="21"/>
          <w:highlight w:val="none"/>
        </w:rPr>
        <w:t>，每季度集中支付一次</w:t>
      </w:r>
      <w:r>
        <w:rPr>
          <w:rFonts w:hint="eastAsia" w:ascii="宋体" w:hAnsi="宋体" w:eastAsia="宋体" w:cs="宋体"/>
          <w:color w:val="000000"/>
          <w:sz w:val="21"/>
          <w:szCs w:val="21"/>
          <w:highlight w:val="none"/>
          <w:lang w:val="en-US" w:eastAsia="zh-CN"/>
        </w:rPr>
        <w:t>性支付季度所有服务</w:t>
      </w:r>
      <w:r>
        <w:rPr>
          <w:rFonts w:hint="eastAsia" w:ascii="宋体" w:hAnsi="宋体" w:eastAsia="宋体" w:cs="宋体"/>
          <w:color w:val="000000"/>
          <w:sz w:val="21"/>
          <w:szCs w:val="21"/>
          <w:highlight w:val="none"/>
        </w:rPr>
        <w:t>费用</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总结算费用不超过采购预算</w:t>
      </w:r>
      <w:r>
        <w:rPr>
          <w:rFonts w:hint="eastAsia" w:ascii="宋体" w:hAnsi="宋体" w:eastAsia="宋体" w:cs="宋体"/>
          <w:color w:val="000000"/>
          <w:sz w:val="21"/>
          <w:szCs w:val="21"/>
          <w:highlight w:val="none"/>
          <w:lang w:eastAsia="zh-CN"/>
        </w:rPr>
        <w:t>。</w:t>
      </w:r>
    </w:p>
    <w:p w14:paraId="5C26781F">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付款前，乙方应开具与付款金额一致的正式发票给甲方，甲方收到发票后以转账形式支付给乙方服务费用，否则，甲方有权拒绝付款且不承担任何违约责任，且乙方不得以此为由停止履行本合同项下的任意义务。</w:t>
      </w:r>
    </w:p>
    <w:p w14:paraId="788FA830">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4、因甲方所有的付款均需财政部门审批，本合同履行期间，非因甲方故意拖延付款申请流程造成的逾期付款的，乙方对此予以谅解</w:t>
      </w:r>
      <w:r>
        <w:rPr>
          <w:rFonts w:hint="eastAsia" w:ascii="宋体" w:hAnsi="宋体" w:eastAsia="宋体" w:cs="宋体"/>
          <w:color w:val="000000"/>
          <w:sz w:val="21"/>
          <w:szCs w:val="21"/>
          <w:highlight w:val="none"/>
          <w:lang w:val="en-US" w:eastAsia="zh-CN"/>
        </w:rPr>
        <w:t>且</w:t>
      </w:r>
      <w:r>
        <w:rPr>
          <w:rFonts w:hint="eastAsia" w:ascii="宋体" w:hAnsi="宋体" w:eastAsia="宋体" w:cs="宋体"/>
          <w:color w:val="000000"/>
          <w:sz w:val="21"/>
          <w:szCs w:val="21"/>
          <w:highlight w:val="none"/>
        </w:rPr>
        <w:t>不得追究甲方的逾期付款责任。</w:t>
      </w:r>
    </w:p>
    <w:p w14:paraId="175BF17C">
      <w:pPr>
        <w:pStyle w:val="11"/>
        <w:keepNext w:val="0"/>
        <w:keepLines w:val="0"/>
        <w:pageBreakBefore w:val="0"/>
        <w:widowControl w:val="0"/>
        <w:kinsoku/>
        <w:wordWrap/>
        <w:overflowPunct/>
        <w:topLinePunct w:val="0"/>
        <w:autoSpaceDE/>
        <w:autoSpaceDN/>
        <w:bidi w:val="0"/>
        <w:spacing w:beforeAutospacing="0" w:afterAutospacing="0" w:line="324" w:lineRule="auto"/>
        <w:ind w:firstLine="42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甲方可直接或间接</w:t>
      </w:r>
      <w:r>
        <w:rPr>
          <w:rFonts w:hint="eastAsia" w:ascii="宋体" w:hAnsi="宋体" w:eastAsia="宋体" w:cs="宋体"/>
          <w:color w:val="000000"/>
          <w:sz w:val="21"/>
          <w:szCs w:val="21"/>
          <w:highlight w:val="none"/>
          <w:lang w:eastAsia="zh-CN"/>
        </w:rPr>
        <w:t>地</w:t>
      </w:r>
      <w:r>
        <w:rPr>
          <w:rFonts w:hint="eastAsia" w:ascii="宋体" w:hAnsi="宋体" w:eastAsia="宋体" w:cs="宋体"/>
          <w:color w:val="000000"/>
          <w:sz w:val="21"/>
          <w:szCs w:val="21"/>
          <w:highlight w:val="none"/>
        </w:rPr>
        <w:t>根据政府购买服务绩效管理办法对项目进行绩效评价，资金支付将与绩效评价结果关联，其中评价结果为优的，付至合同总价的</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%，评价结果为良好的，付至合同总价的</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%，评价结果为合格的，付至合同总价的</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%，评价结果为差的，付至合同总价的</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%。（90分以上为优秀，80分以上、不足90分的为良好，60分以上、不足80分的为合格，不足60分的为不合格。）</w:t>
      </w:r>
    </w:p>
    <w:p w14:paraId="1547B01D">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第</w:t>
      </w:r>
      <w:r>
        <w:rPr>
          <w:rFonts w:hint="eastAsia" w:ascii="宋体" w:hAnsi="宋体" w:eastAsia="宋体" w:cs="宋体"/>
          <w:b/>
          <w:color w:val="000000"/>
          <w:sz w:val="21"/>
          <w:szCs w:val="21"/>
          <w:highlight w:val="none"/>
          <w:lang w:val="en-US" w:eastAsia="zh-CN"/>
        </w:rPr>
        <w:t>五</w:t>
      </w:r>
      <w:r>
        <w:rPr>
          <w:rFonts w:hint="eastAsia" w:ascii="宋体" w:hAnsi="宋体" w:eastAsia="宋体" w:cs="宋体"/>
          <w:b/>
          <w:color w:val="000000"/>
          <w:sz w:val="21"/>
          <w:szCs w:val="21"/>
          <w:highlight w:val="none"/>
        </w:rPr>
        <w:t>条  知识产权</w:t>
      </w:r>
    </w:p>
    <w:p w14:paraId="38AA37A9">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1、乙方应保证所提供的成果（或服务）其任何一部分均不会侵犯任何第三方的专利权、商标权或著作权。</w:t>
      </w:r>
    </w:p>
    <w:p w14:paraId="613311FE">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2、乙方保证</w:t>
      </w:r>
      <w:r>
        <w:rPr>
          <w:rFonts w:hint="eastAsia" w:ascii="宋体" w:hAnsi="宋体" w:eastAsia="宋体" w:cs="宋体"/>
          <w:color w:val="000000"/>
          <w:sz w:val="21"/>
          <w:szCs w:val="21"/>
          <w:highlight w:val="none"/>
          <w:lang w:eastAsia="zh-CN"/>
        </w:rPr>
        <w:t>其在</w:t>
      </w:r>
      <w:r>
        <w:rPr>
          <w:rFonts w:hint="eastAsia" w:ascii="宋体" w:hAnsi="宋体" w:eastAsia="宋体" w:cs="宋体"/>
          <w:color w:val="000000"/>
          <w:sz w:val="21"/>
          <w:szCs w:val="21"/>
          <w:highlight w:val="none"/>
        </w:rPr>
        <w:t>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00F4C067">
      <w:pPr>
        <w:pStyle w:val="5"/>
        <w:keepNext w:val="0"/>
        <w:keepLines w:val="0"/>
        <w:pageBreakBefore w:val="0"/>
        <w:shd w:val="clear" w:color="auto" w:fill="FFFFFF"/>
        <w:wordWrap/>
        <w:overflowPunct/>
        <w:topLinePunct w:val="0"/>
        <w:bidi w:val="0"/>
        <w:spacing w:beforeAutospacing="0" w:afterAutospacing="0" w:line="324" w:lineRule="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第</w:t>
      </w:r>
      <w:r>
        <w:rPr>
          <w:rFonts w:hint="eastAsia" w:ascii="宋体" w:hAnsi="宋体" w:eastAsia="宋体" w:cs="宋体"/>
          <w:b/>
          <w:bCs/>
          <w:color w:val="000000"/>
          <w:sz w:val="21"/>
          <w:szCs w:val="21"/>
          <w:highlight w:val="none"/>
          <w:lang w:val="en-US" w:eastAsia="zh-CN"/>
        </w:rPr>
        <w:t>六</w:t>
      </w:r>
      <w:r>
        <w:rPr>
          <w:rFonts w:hint="eastAsia" w:ascii="宋体" w:hAnsi="宋体" w:eastAsia="宋体" w:cs="宋体"/>
          <w:b/>
          <w:bCs/>
          <w:color w:val="000000"/>
          <w:sz w:val="21"/>
          <w:szCs w:val="21"/>
          <w:highlight w:val="none"/>
        </w:rPr>
        <w:t>条  甲方的权利和义务</w:t>
      </w:r>
    </w:p>
    <w:p w14:paraId="52FBA13A">
      <w:pPr>
        <w:pStyle w:val="5"/>
        <w:keepNext w:val="0"/>
        <w:keepLines w:val="0"/>
        <w:pageBreakBefore w:val="0"/>
        <w:shd w:val="clear" w:color="auto" w:fill="FFFFFF"/>
        <w:wordWrap/>
        <w:overflowPunct/>
        <w:topLinePunct w:val="0"/>
        <w:bidi w:val="0"/>
        <w:spacing w:beforeAutospacing="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CDE5B10">
      <w:pPr>
        <w:pStyle w:val="5"/>
        <w:keepNext w:val="0"/>
        <w:keepLines w:val="0"/>
        <w:pageBreakBefore w:val="0"/>
        <w:shd w:val="clear" w:color="auto" w:fill="FFFFFF"/>
        <w:wordWrap/>
        <w:overflowPunct/>
        <w:topLinePunct w:val="0"/>
        <w:bidi w:val="0"/>
        <w:spacing w:beforeAutospacing="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2、负责检查监督乙方管理工作的实施及制度的执行情况。</w:t>
      </w:r>
    </w:p>
    <w:p w14:paraId="7B6A0B76">
      <w:pPr>
        <w:pStyle w:val="5"/>
        <w:keepNext w:val="0"/>
        <w:keepLines w:val="0"/>
        <w:pageBreakBefore w:val="0"/>
        <w:shd w:val="clear" w:color="auto" w:fill="FFFFFF"/>
        <w:wordWrap/>
        <w:overflowPunct/>
        <w:topLinePunct w:val="0"/>
        <w:bidi w:val="0"/>
        <w:spacing w:beforeAutospacing="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3、甲方有权对乙方人员的工作情况及纪律作风监督检查，明确员工职责范围，对工作中不负责任、违反管理规定的人员，有权提出辞退要求，情况属实，乙方应无条件予以执行。</w:t>
      </w:r>
    </w:p>
    <w:p w14:paraId="31DA3936">
      <w:pPr>
        <w:pStyle w:val="5"/>
        <w:keepNext w:val="0"/>
        <w:keepLines w:val="0"/>
        <w:pageBreakBefore w:val="0"/>
        <w:shd w:val="clear" w:color="auto" w:fill="FFFFFF"/>
        <w:wordWrap/>
        <w:overflowPunct/>
        <w:topLinePunct w:val="0"/>
        <w:bidi w:val="0"/>
        <w:spacing w:beforeAutospacing="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4、根据本合同规定，按时向乙方支付应付服务费用。</w:t>
      </w:r>
    </w:p>
    <w:p w14:paraId="656B702F">
      <w:pPr>
        <w:pStyle w:val="5"/>
        <w:keepNext w:val="0"/>
        <w:keepLines w:val="0"/>
        <w:pageBreakBefore w:val="0"/>
        <w:shd w:val="clear" w:color="auto" w:fill="FFFFFF"/>
        <w:wordWrap/>
        <w:overflowPunct/>
        <w:topLinePunct w:val="0"/>
        <w:bidi w:val="0"/>
        <w:spacing w:beforeAutospacing="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5、国家法律、法规所规定由甲方承担的</w:t>
      </w:r>
      <w:r>
        <w:rPr>
          <w:rFonts w:hint="eastAsia" w:ascii="宋体" w:hAnsi="宋体" w:eastAsia="宋体" w:cs="宋体"/>
          <w:color w:val="000000"/>
          <w:sz w:val="21"/>
          <w:szCs w:val="21"/>
          <w:highlight w:val="none"/>
          <w:lang w:eastAsia="zh-CN"/>
        </w:rPr>
        <w:t>其他</w:t>
      </w:r>
      <w:r>
        <w:rPr>
          <w:rFonts w:hint="eastAsia" w:ascii="宋体" w:hAnsi="宋体" w:eastAsia="宋体" w:cs="宋体"/>
          <w:color w:val="000000"/>
          <w:sz w:val="21"/>
          <w:szCs w:val="21"/>
          <w:highlight w:val="none"/>
        </w:rPr>
        <w:t>责任。</w:t>
      </w:r>
    </w:p>
    <w:p w14:paraId="54A9C2B7">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第</w:t>
      </w:r>
      <w:r>
        <w:rPr>
          <w:rFonts w:hint="eastAsia" w:ascii="宋体" w:hAnsi="宋体" w:eastAsia="宋体" w:cs="宋体"/>
          <w:b/>
          <w:bCs/>
          <w:color w:val="000000"/>
          <w:sz w:val="21"/>
          <w:szCs w:val="21"/>
          <w:highlight w:val="none"/>
          <w:lang w:val="en-US" w:eastAsia="zh-CN"/>
        </w:rPr>
        <w:t>七</w:t>
      </w:r>
      <w:r>
        <w:rPr>
          <w:rFonts w:hint="eastAsia" w:ascii="宋体" w:hAnsi="宋体" w:eastAsia="宋体" w:cs="宋体"/>
          <w:b/>
          <w:bCs/>
          <w:color w:val="000000"/>
          <w:sz w:val="21"/>
          <w:szCs w:val="21"/>
          <w:highlight w:val="none"/>
        </w:rPr>
        <w:t>条  乙方的权利和义务</w:t>
      </w:r>
    </w:p>
    <w:p w14:paraId="6C724AA9">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1、按合同要求派出合格的服务人员，依据岗位职责结合甲方交予的任务执行服务工作；遵守甲方制定的各项规章制度，为甲方提供保障服务。</w:t>
      </w:r>
    </w:p>
    <w:p w14:paraId="1C2EF0E3">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2、乙方人员在上岗期间要着装整洁、仪表端庄，坚守岗位、遵守纪律、认真负责。</w:t>
      </w:r>
    </w:p>
    <w:p w14:paraId="6CFD7306">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3、乙方定期征求甲方的意见，以便及时沟通并做好服务工作。 </w:t>
      </w:r>
    </w:p>
    <w:p w14:paraId="3990FDDC">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4、乙方人员因工作失职或疏忽直接造成损失，由乙方处理并承担相关责任。</w:t>
      </w:r>
    </w:p>
    <w:p w14:paraId="6D0AE477">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5、乙方负责现场人员的日常管理和业务培训，并承担其职务行为职责</w:t>
      </w:r>
    </w:p>
    <w:p w14:paraId="25A447FC">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6、根据本合同的规定向甲方收取相关服务费用，并有权在本项目管理范围内管理及合理使用。</w:t>
      </w:r>
    </w:p>
    <w:p w14:paraId="76596995">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7、及时向甲方通告本项目服务范围内有关服务的重大事项，及时配合处理投诉。</w:t>
      </w:r>
    </w:p>
    <w:p w14:paraId="5F05BC41">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8、接受项目行业管理部门及政府有关部门的指导，接受甲方的监督。</w:t>
      </w:r>
    </w:p>
    <w:p w14:paraId="092D3EA3">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9、国家法律、法规所规定由乙方承担的</w:t>
      </w:r>
      <w:r>
        <w:rPr>
          <w:rFonts w:hint="eastAsia" w:ascii="宋体" w:hAnsi="宋体" w:eastAsia="宋体" w:cs="宋体"/>
          <w:color w:val="000000"/>
          <w:sz w:val="21"/>
          <w:szCs w:val="21"/>
          <w:highlight w:val="none"/>
          <w:lang w:eastAsia="zh-CN"/>
        </w:rPr>
        <w:t>其他</w:t>
      </w:r>
      <w:r>
        <w:rPr>
          <w:rFonts w:hint="eastAsia" w:ascii="宋体" w:hAnsi="宋体" w:eastAsia="宋体" w:cs="宋体"/>
          <w:color w:val="000000"/>
          <w:sz w:val="21"/>
          <w:szCs w:val="21"/>
          <w:highlight w:val="none"/>
        </w:rPr>
        <w:t>责任。</w:t>
      </w:r>
    </w:p>
    <w:p w14:paraId="1866388A">
      <w:pPr>
        <w:keepNext w:val="0"/>
        <w:keepLines w:val="0"/>
        <w:pageBreakBefore w:val="0"/>
        <w:widowControl w:val="0"/>
        <w:kinsoku/>
        <w:wordWrap/>
        <w:overflowPunct/>
        <w:topLinePunct w:val="0"/>
        <w:autoSpaceDE/>
        <w:autoSpaceDN/>
        <w:bidi w:val="0"/>
        <w:adjustRightInd/>
        <w:snapToGrid/>
        <w:spacing w:beforeAutospacing="0" w:afterAutospacing="0" w:line="324" w:lineRule="auto"/>
        <w:textAlignment w:val="auto"/>
        <w:rPr>
          <w:rFonts w:hint="eastAsia" w:ascii="宋体" w:hAnsi="宋体" w:eastAsia="宋体" w:cs="宋体"/>
          <w:b/>
          <w:bCs/>
          <w:color w:val="000000"/>
          <w:sz w:val="21"/>
          <w:szCs w:val="21"/>
          <w:highlight w:val="none"/>
          <w:shd w:val="clear" w:color="auto" w:fill="FFFFFF"/>
        </w:rPr>
      </w:pPr>
      <w:r>
        <w:rPr>
          <w:rFonts w:hint="eastAsia" w:ascii="宋体" w:hAnsi="宋体" w:eastAsia="宋体" w:cs="宋体"/>
          <w:b/>
          <w:bCs/>
          <w:color w:val="000000"/>
          <w:sz w:val="21"/>
          <w:szCs w:val="21"/>
          <w:highlight w:val="none"/>
          <w:shd w:val="clear" w:color="auto" w:fill="FFFFFF"/>
        </w:rPr>
        <w:t>第</w:t>
      </w:r>
      <w:r>
        <w:rPr>
          <w:rFonts w:hint="eastAsia" w:ascii="宋体" w:hAnsi="宋体" w:eastAsia="宋体" w:cs="宋体"/>
          <w:b/>
          <w:bCs/>
          <w:color w:val="000000"/>
          <w:sz w:val="21"/>
          <w:szCs w:val="21"/>
          <w:highlight w:val="none"/>
          <w:shd w:val="clear" w:color="auto" w:fill="FFFFFF"/>
          <w:lang w:val="en-US" w:eastAsia="zh-CN"/>
        </w:rPr>
        <w:t>八</w:t>
      </w:r>
      <w:r>
        <w:rPr>
          <w:rFonts w:hint="eastAsia" w:ascii="宋体" w:hAnsi="宋体" w:eastAsia="宋体" w:cs="宋体"/>
          <w:b/>
          <w:bCs/>
          <w:color w:val="000000"/>
          <w:sz w:val="21"/>
          <w:szCs w:val="21"/>
          <w:highlight w:val="none"/>
          <w:shd w:val="clear" w:color="auto" w:fill="FFFFFF"/>
        </w:rPr>
        <w:t>条 质量保证</w:t>
      </w:r>
    </w:p>
    <w:p w14:paraId="1F0D991D">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388" w:firstLineChars="200"/>
        <w:textAlignment w:val="auto"/>
        <w:rPr>
          <w:rFonts w:hint="eastAsia" w:ascii="宋体" w:hAnsi="宋体" w:eastAsia="宋体" w:cs="宋体"/>
          <w:color w:val="000000"/>
          <w:spacing w:val="-7"/>
          <w:sz w:val="21"/>
          <w:szCs w:val="21"/>
          <w:highlight w:val="none"/>
        </w:rPr>
      </w:pPr>
      <w:r>
        <w:rPr>
          <w:rFonts w:hint="eastAsia" w:ascii="宋体" w:hAnsi="宋体" w:eastAsia="宋体" w:cs="宋体"/>
          <w:color w:val="000000"/>
          <w:spacing w:val="-8"/>
          <w:sz w:val="21"/>
          <w:szCs w:val="21"/>
          <w:highlight w:val="none"/>
        </w:rPr>
        <w:t>1</w:t>
      </w:r>
      <w:r>
        <w:rPr>
          <w:rFonts w:hint="eastAsia" w:ascii="宋体" w:hAnsi="宋体" w:eastAsia="宋体" w:cs="宋体"/>
          <w:color w:val="000000"/>
          <w:spacing w:val="-8"/>
          <w:sz w:val="21"/>
          <w:szCs w:val="21"/>
          <w:highlight w:val="none"/>
          <w:lang w:eastAsia="zh-CN"/>
        </w:rPr>
        <w:t>、</w:t>
      </w:r>
      <w:r>
        <w:rPr>
          <w:rFonts w:hint="eastAsia" w:ascii="宋体" w:hAnsi="宋体" w:eastAsia="宋体" w:cs="宋体"/>
          <w:color w:val="000000"/>
          <w:spacing w:val="-8"/>
          <w:sz w:val="21"/>
          <w:szCs w:val="21"/>
          <w:highlight w:val="none"/>
        </w:rPr>
        <w:t>在服务范围内按工作内容和要求制定详细</w:t>
      </w:r>
      <w:r>
        <w:rPr>
          <w:rFonts w:hint="eastAsia" w:ascii="宋体" w:hAnsi="宋体" w:eastAsia="宋体" w:cs="宋体"/>
          <w:color w:val="000000"/>
          <w:spacing w:val="-9"/>
          <w:sz w:val="21"/>
          <w:szCs w:val="21"/>
          <w:highlight w:val="none"/>
        </w:rPr>
        <w:t>的方案，方案应科学、合理、合法、</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pacing w:val="-7"/>
          <w:sz w:val="21"/>
          <w:szCs w:val="21"/>
          <w:highlight w:val="none"/>
        </w:rPr>
        <w:t>可靠。</w:t>
      </w:r>
    </w:p>
    <w:p w14:paraId="74BA64A6">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04" w:firstLineChars="200"/>
        <w:textAlignment w:val="auto"/>
        <w:rPr>
          <w:rFonts w:hint="eastAsia" w:ascii="宋体" w:hAnsi="宋体" w:eastAsia="宋体" w:cs="宋体"/>
          <w:color w:val="000000"/>
          <w:spacing w:val="-1"/>
          <w:sz w:val="21"/>
          <w:szCs w:val="21"/>
          <w:highlight w:val="none"/>
        </w:rPr>
      </w:pPr>
      <w:r>
        <w:rPr>
          <w:rFonts w:hint="eastAsia" w:ascii="宋体" w:hAnsi="宋体" w:eastAsia="宋体" w:cs="宋体"/>
          <w:color w:val="000000"/>
          <w:spacing w:val="-4"/>
          <w:sz w:val="21"/>
          <w:szCs w:val="21"/>
          <w:highlight w:val="none"/>
        </w:rPr>
        <w:t>2</w:t>
      </w:r>
      <w:r>
        <w:rPr>
          <w:rFonts w:hint="eastAsia" w:ascii="宋体" w:hAnsi="宋体" w:eastAsia="宋体" w:cs="宋体"/>
          <w:color w:val="000000"/>
          <w:spacing w:val="-4"/>
          <w:sz w:val="21"/>
          <w:szCs w:val="21"/>
          <w:highlight w:val="none"/>
          <w:lang w:eastAsia="zh-CN"/>
        </w:rPr>
        <w:t>、</w:t>
      </w:r>
      <w:r>
        <w:rPr>
          <w:rFonts w:hint="eastAsia" w:ascii="宋体" w:hAnsi="宋体" w:eastAsia="宋体" w:cs="宋体"/>
          <w:color w:val="000000"/>
          <w:spacing w:val="-4"/>
          <w:sz w:val="21"/>
          <w:szCs w:val="21"/>
          <w:highlight w:val="none"/>
        </w:rPr>
        <w:t>人员配备合理</w:t>
      </w:r>
      <w:r>
        <w:rPr>
          <w:rFonts w:hint="eastAsia" w:ascii="宋体" w:hAnsi="宋体" w:eastAsia="宋体" w:cs="宋体"/>
          <w:color w:val="000000"/>
          <w:spacing w:val="-4"/>
          <w:sz w:val="21"/>
          <w:szCs w:val="21"/>
          <w:highlight w:val="none"/>
          <w:lang w:eastAsia="zh-CN"/>
        </w:rPr>
        <w:t>，</w:t>
      </w:r>
      <w:r>
        <w:rPr>
          <w:rFonts w:hint="eastAsia" w:ascii="宋体" w:hAnsi="宋体" w:eastAsia="宋体" w:cs="宋体"/>
          <w:color w:val="000000"/>
          <w:spacing w:val="-4"/>
          <w:sz w:val="21"/>
          <w:szCs w:val="21"/>
          <w:highlight w:val="none"/>
        </w:rPr>
        <w:t>有针对本项目的专项服务小组，项目负责人、工作人员分工</w:t>
      </w:r>
      <w:r>
        <w:rPr>
          <w:rFonts w:hint="eastAsia" w:ascii="宋体" w:hAnsi="宋体" w:eastAsia="宋体" w:cs="宋体"/>
          <w:color w:val="000000"/>
          <w:spacing w:val="14"/>
          <w:sz w:val="21"/>
          <w:szCs w:val="21"/>
          <w:highlight w:val="none"/>
        </w:rPr>
        <w:t xml:space="preserve"> </w:t>
      </w:r>
      <w:r>
        <w:rPr>
          <w:rFonts w:hint="eastAsia" w:ascii="宋体" w:hAnsi="宋体" w:eastAsia="宋体" w:cs="宋体"/>
          <w:color w:val="000000"/>
          <w:spacing w:val="-1"/>
          <w:sz w:val="21"/>
          <w:szCs w:val="21"/>
          <w:highlight w:val="none"/>
        </w:rPr>
        <w:t>明确，确保服务质量（应有具体成员名单，包括姓名、工作职责、联系方式等）</w:t>
      </w:r>
    </w:p>
    <w:p w14:paraId="2E210A55">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16" w:firstLineChars="200"/>
        <w:textAlignment w:val="auto"/>
        <w:rPr>
          <w:rFonts w:hint="eastAsia" w:ascii="宋体" w:hAnsi="宋体" w:eastAsia="宋体" w:cs="宋体"/>
          <w:color w:val="000000"/>
          <w:spacing w:val="-1"/>
          <w:sz w:val="21"/>
          <w:szCs w:val="21"/>
          <w:highlight w:val="none"/>
        </w:rPr>
      </w:pPr>
      <w:r>
        <w:rPr>
          <w:rFonts w:hint="eastAsia" w:ascii="宋体" w:hAnsi="宋体" w:eastAsia="宋体" w:cs="宋体"/>
          <w:color w:val="000000"/>
          <w:spacing w:val="-1"/>
          <w:sz w:val="21"/>
          <w:szCs w:val="21"/>
          <w:highlight w:val="none"/>
        </w:rPr>
        <w:t>3</w:t>
      </w:r>
      <w:r>
        <w:rPr>
          <w:rFonts w:hint="eastAsia" w:ascii="宋体" w:hAnsi="宋体" w:eastAsia="宋体" w:cs="宋体"/>
          <w:color w:val="000000"/>
          <w:spacing w:val="-1"/>
          <w:sz w:val="21"/>
          <w:szCs w:val="21"/>
          <w:highlight w:val="none"/>
          <w:lang w:eastAsia="zh-CN"/>
        </w:rPr>
        <w:t>、</w:t>
      </w:r>
      <w:r>
        <w:rPr>
          <w:rFonts w:hint="eastAsia" w:ascii="宋体" w:hAnsi="宋体" w:eastAsia="宋体" w:cs="宋体"/>
          <w:color w:val="000000"/>
          <w:spacing w:val="-1"/>
          <w:sz w:val="21"/>
          <w:szCs w:val="21"/>
          <w:highlight w:val="none"/>
        </w:rPr>
        <w:t>有各类突发事件的应急预案和措施，有明确具体的承诺。</w:t>
      </w:r>
    </w:p>
    <w:p w14:paraId="7BEF2CEF">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12" w:firstLineChars="200"/>
        <w:textAlignment w:val="auto"/>
        <w:rPr>
          <w:rFonts w:hint="eastAsia" w:ascii="宋体" w:hAnsi="宋体" w:eastAsia="宋体" w:cs="宋体"/>
          <w:color w:val="000000"/>
          <w:spacing w:val="-1"/>
          <w:sz w:val="21"/>
          <w:szCs w:val="21"/>
          <w:highlight w:val="none"/>
        </w:rPr>
      </w:pPr>
      <w:r>
        <w:rPr>
          <w:rFonts w:hint="eastAsia" w:ascii="宋体" w:hAnsi="宋体" w:eastAsia="宋体" w:cs="宋体"/>
          <w:color w:val="000000"/>
          <w:spacing w:val="-2"/>
          <w:sz w:val="21"/>
          <w:szCs w:val="21"/>
          <w:highlight w:val="none"/>
        </w:rPr>
        <w:t>4</w:t>
      </w:r>
      <w:r>
        <w:rPr>
          <w:rFonts w:hint="eastAsia" w:ascii="宋体" w:hAnsi="宋体" w:eastAsia="宋体" w:cs="宋体"/>
          <w:color w:val="000000"/>
          <w:spacing w:val="-2"/>
          <w:sz w:val="21"/>
          <w:szCs w:val="21"/>
          <w:highlight w:val="none"/>
          <w:lang w:eastAsia="zh-CN"/>
        </w:rPr>
        <w:t>、</w:t>
      </w:r>
      <w:r>
        <w:rPr>
          <w:rFonts w:hint="eastAsia" w:ascii="宋体" w:hAnsi="宋体" w:eastAsia="宋体" w:cs="宋体"/>
          <w:color w:val="000000"/>
          <w:spacing w:val="-2"/>
          <w:sz w:val="21"/>
          <w:szCs w:val="21"/>
          <w:highlight w:val="none"/>
          <w:lang w:val="en-US" w:eastAsia="zh-CN"/>
        </w:rPr>
        <w:t>乙方</w:t>
      </w:r>
      <w:r>
        <w:rPr>
          <w:rFonts w:hint="eastAsia" w:ascii="宋体" w:hAnsi="宋体" w:eastAsia="宋体" w:cs="宋体"/>
          <w:color w:val="000000"/>
          <w:spacing w:val="-2"/>
          <w:sz w:val="21"/>
          <w:szCs w:val="21"/>
          <w:highlight w:val="none"/>
        </w:rPr>
        <w:t>所拟派的工作人员，若在服务期间发生侵害第三方或被第三方侵害，</w:t>
      </w:r>
      <w:r>
        <w:rPr>
          <w:rFonts w:hint="eastAsia" w:ascii="宋体" w:hAnsi="宋体" w:eastAsia="宋体" w:cs="宋体"/>
          <w:color w:val="000000"/>
          <w:spacing w:val="6"/>
          <w:sz w:val="21"/>
          <w:szCs w:val="21"/>
          <w:highlight w:val="none"/>
        </w:rPr>
        <w:t xml:space="preserve"> </w:t>
      </w:r>
      <w:r>
        <w:rPr>
          <w:rFonts w:hint="eastAsia" w:ascii="宋体" w:hAnsi="宋体" w:eastAsia="宋体" w:cs="宋体"/>
          <w:color w:val="000000"/>
          <w:spacing w:val="-1"/>
          <w:sz w:val="21"/>
          <w:szCs w:val="21"/>
          <w:highlight w:val="none"/>
          <w:lang w:val="en-US" w:eastAsia="zh-CN"/>
        </w:rPr>
        <w:t>甲方</w:t>
      </w:r>
      <w:r>
        <w:rPr>
          <w:rFonts w:hint="eastAsia" w:ascii="宋体" w:hAnsi="宋体" w:eastAsia="宋体" w:cs="宋体"/>
          <w:color w:val="000000"/>
          <w:spacing w:val="-1"/>
          <w:sz w:val="21"/>
          <w:szCs w:val="21"/>
          <w:highlight w:val="none"/>
        </w:rPr>
        <w:t>概不负责，由</w:t>
      </w:r>
      <w:r>
        <w:rPr>
          <w:rFonts w:hint="eastAsia" w:ascii="宋体" w:hAnsi="宋体" w:eastAsia="宋体" w:cs="宋体"/>
          <w:color w:val="000000"/>
          <w:spacing w:val="-1"/>
          <w:sz w:val="21"/>
          <w:szCs w:val="21"/>
          <w:highlight w:val="none"/>
          <w:lang w:val="en-US" w:eastAsia="zh-CN"/>
        </w:rPr>
        <w:t>乙方</w:t>
      </w:r>
      <w:r>
        <w:rPr>
          <w:rFonts w:hint="eastAsia" w:ascii="宋体" w:hAnsi="宋体" w:eastAsia="宋体" w:cs="宋体"/>
          <w:color w:val="000000"/>
          <w:spacing w:val="-1"/>
          <w:sz w:val="21"/>
          <w:szCs w:val="21"/>
          <w:highlight w:val="none"/>
        </w:rPr>
        <w:t>自行处理并承担相应损失。</w:t>
      </w:r>
    </w:p>
    <w:p w14:paraId="6CCF183D">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kern w:val="2"/>
          <w:sz w:val="21"/>
          <w:szCs w:val="21"/>
          <w:highlight w:val="none"/>
          <w:lang w:val="en-US" w:eastAsia="zh-CN" w:bidi="ar-SA"/>
        </w:rPr>
        <w:t>各项服务标准符合国家、省、市（行业）强制性标准及甲方要求</w:t>
      </w:r>
      <w:r>
        <w:rPr>
          <w:rFonts w:hint="eastAsia" w:ascii="宋体" w:hAnsi="宋体" w:eastAsia="宋体" w:cs="宋体"/>
          <w:color w:val="000000"/>
          <w:sz w:val="21"/>
          <w:szCs w:val="21"/>
          <w:highlight w:val="none"/>
          <w:lang w:eastAsia="zh-CN"/>
        </w:rPr>
        <w:t>。</w:t>
      </w:r>
    </w:p>
    <w:p w14:paraId="43567E30">
      <w:pPr>
        <w:keepNext w:val="0"/>
        <w:keepLines w:val="0"/>
        <w:pageBreakBefore w:val="0"/>
        <w:widowControl w:val="0"/>
        <w:kinsoku/>
        <w:wordWrap/>
        <w:overflowPunct/>
        <w:topLinePunct w:val="0"/>
        <w:autoSpaceDE/>
        <w:autoSpaceDN/>
        <w:bidi w:val="0"/>
        <w:adjustRightInd/>
        <w:snapToGrid/>
        <w:spacing w:beforeAutospacing="0" w:afterAutospacing="0" w:line="324" w:lineRule="auto"/>
        <w:textAlignment w:val="auto"/>
        <w:rPr>
          <w:rFonts w:hint="eastAsia" w:ascii="宋体" w:hAnsi="宋体" w:eastAsia="宋体" w:cs="宋体"/>
          <w:color w:val="000000"/>
          <w:spacing w:val="-1"/>
          <w:sz w:val="21"/>
          <w:szCs w:val="21"/>
          <w:highlight w:val="none"/>
        </w:rPr>
      </w:pPr>
      <w:r>
        <w:rPr>
          <w:rFonts w:hint="eastAsia" w:ascii="宋体" w:hAnsi="宋体" w:eastAsia="宋体" w:cs="宋体"/>
          <w:b/>
          <w:bCs/>
          <w:color w:val="000000"/>
          <w:sz w:val="21"/>
          <w:szCs w:val="21"/>
          <w:highlight w:val="none"/>
          <w:shd w:val="clear" w:color="auto" w:fill="FFFFFF"/>
        </w:rPr>
        <w:t>第</w:t>
      </w:r>
      <w:r>
        <w:rPr>
          <w:rFonts w:hint="eastAsia" w:ascii="宋体" w:hAnsi="宋体" w:eastAsia="宋体" w:cs="宋体"/>
          <w:b/>
          <w:bCs/>
          <w:color w:val="000000"/>
          <w:sz w:val="21"/>
          <w:szCs w:val="21"/>
          <w:highlight w:val="none"/>
          <w:shd w:val="clear" w:color="auto" w:fill="FFFFFF"/>
          <w:lang w:val="en-US" w:eastAsia="zh-CN"/>
        </w:rPr>
        <w:t>九</w:t>
      </w:r>
      <w:r>
        <w:rPr>
          <w:rFonts w:hint="eastAsia" w:ascii="宋体" w:hAnsi="宋体" w:eastAsia="宋体" w:cs="宋体"/>
          <w:b/>
          <w:bCs/>
          <w:color w:val="000000"/>
          <w:sz w:val="21"/>
          <w:szCs w:val="21"/>
          <w:highlight w:val="none"/>
          <w:shd w:val="clear" w:color="auto" w:fill="FFFFFF"/>
        </w:rPr>
        <w:t>条 考核（验收）标准和方法</w:t>
      </w:r>
    </w:p>
    <w:p w14:paraId="519FC61A">
      <w:pPr>
        <w:keepNext w:val="0"/>
        <w:keepLines w:val="0"/>
        <w:pageBreakBefore w:val="0"/>
        <w:widowControl w:val="0"/>
        <w:kinsoku/>
        <w:wordWrap/>
        <w:overflowPunct/>
        <w:topLinePunct w:val="0"/>
        <w:autoSpaceDE/>
        <w:autoSpaceDN/>
        <w:bidi w:val="0"/>
        <w:adjustRightInd/>
        <w:snapToGrid/>
        <w:spacing w:beforeAutospacing="0" w:afterAutospacing="0" w:line="324" w:lineRule="auto"/>
        <w:ind w:left="491"/>
        <w:textAlignment w:val="auto"/>
        <w:rPr>
          <w:rFonts w:hint="eastAsia" w:ascii="宋体" w:hAnsi="宋体" w:eastAsia="宋体" w:cs="宋体"/>
          <w:color w:val="000000"/>
          <w:spacing w:val="-1"/>
          <w:sz w:val="21"/>
          <w:szCs w:val="21"/>
          <w:highlight w:val="none"/>
        </w:rPr>
      </w:pPr>
      <w:r>
        <w:rPr>
          <w:rFonts w:hint="eastAsia" w:ascii="宋体" w:hAnsi="宋体" w:eastAsia="宋体" w:cs="宋体"/>
          <w:color w:val="000000"/>
          <w:spacing w:val="-1"/>
          <w:sz w:val="21"/>
          <w:szCs w:val="21"/>
          <w:highlight w:val="none"/>
          <w:lang w:val="en-US" w:eastAsia="zh-CN"/>
        </w:rPr>
        <w:t>1、乙方</w:t>
      </w:r>
      <w:r>
        <w:rPr>
          <w:rFonts w:hint="eastAsia" w:ascii="宋体" w:hAnsi="宋体" w:eastAsia="宋体" w:cs="宋体"/>
          <w:color w:val="000000"/>
          <w:spacing w:val="-1"/>
          <w:sz w:val="21"/>
          <w:szCs w:val="21"/>
          <w:highlight w:val="none"/>
        </w:rPr>
        <w:t>应严格遵守采购单位有关保密规定，不得泄漏一切机密；</w:t>
      </w:r>
    </w:p>
    <w:p w14:paraId="1A452E2F">
      <w:pPr>
        <w:keepNext w:val="0"/>
        <w:keepLines w:val="0"/>
        <w:pageBreakBefore w:val="0"/>
        <w:widowControl w:val="0"/>
        <w:kinsoku/>
        <w:wordWrap/>
        <w:overflowPunct/>
        <w:topLinePunct w:val="0"/>
        <w:autoSpaceDE/>
        <w:autoSpaceDN/>
        <w:bidi w:val="0"/>
        <w:adjustRightInd/>
        <w:snapToGrid/>
        <w:spacing w:beforeAutospacing="0" w:afterAutospacing="0" w:line="324" w:lineRule="auto"/>
        <w:ind w:left="491"/>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pacing w:val="-4"/>
          <w:sz w:val="21"/>
          <w:szCs w:val="21"/>
          <w:highlight w:val="none"/>
          <w:lang w:val="en-US" w:eastAsia="zh-CN"/>
        </w:rPr>
        <w:t>2、</w:t>
      </w:r>
      <w:r>
        <w:rPr>
          <w:rFonts w:hint="eastAsia" w:ascii="宋体" w:hAnsi="宋体" w:eastAsia="宋体" w:cs="宋体"/>
          <w:color w:val="000000"/>
          <w:spacing w:val="-4"/>
          <w:sz w:val="21"/>
          <w:szCs w:val="21"/>
          <w:highlight w:val="none"/>
        </w:rPr>
        <w:t>在服务期间，</w:t>
      </w:r>
      <w:r>
        <w:rPr>
          <w:rFonts w:hint="eastAsia" w:ascii="宋体" w:hAnsi="宋体" w:eastAsia="宋体" w:cs="宋体"/>
          <w:color w:val="000000"/>
          <w:spacing w:val="-4"/>
          <w:sz w:val="21"/>
          <w:szCs w:val="21"/>
          <w:highlight w:val="none"/>
          <w:lang w:val="en-US" w:eastAsia="zh-CN"/>
        </w:rPr>
        <w:t>乙方</w:t>
      </w:r>
      <w:r>
        <w:rPr>
          <w:rFonts w:hint="eastAsia" w:ascii="宋体" w:hAnsi="宋体" w:eastAsia="宋体" w:cs="宋体"/>
          <w:color w:val="000000"/>
          <w:spacing w:val="-4"/>
          <w:sz w:val="21"/>
          <w:szCs w:val="21"/>
          <w:highlight w:val="none"/>
        </w:rPr>
        <w:t>对接触到的有关采购单位商业活动、技术情报和技</w:t>
      </w:r>
      <w:r>
        <w:rPr>
          <w:rFonts w:hint="eastAsia" w:ascii="宋体" w:hAnsi="宋体" w:eastAsia="宋体" w:cs="宋体"/>
          <w:color w:val="000000"/>
          <w:spacing w:val="14"/>
          <w:sz w:val="21"/>
          <w:szCs w:val="21"/>
          <w:highlight w:val="none"/>
        </w:rPr>
        <w:t xml:space="preserve"> </w:t>
      </w:r>
      <w:r>
        <w:rPr>
          <w:rFonts w:hint="eastAsia" w:ascii="宋体" w:hAnsi="宋体" w:eastAsia="宋体" w:cs="宋体"/>
          <w:color w:val="000000"/>
          <w:spacing w:val="-2"/>
          <w:sz w:val="21"/>
          <w:szCs w:val="21"/>
          <w:highlight w:val="none"/>
        </w:rPr>
        <w:t>术资料等文件进行保密</w:t>
      </w:r>
      <w:r>
        <w:rPr>
          <w:rFonts w:hint="eastAsia" w:ascii="宋体" w:hAnsi="宋体" w:eastAsia="宋体" w:cs="宋体"/>
          <w:color w:val="000000"/>
          <w:spacing w:val="-2"/>
          <w:sz w:val="21"/>
          <w:szCs w:val="21"/>
          <w:highlight w:val="none"/>
          <w:lang w:eastAsia="zh-CN"/>
        </w:rPr>
        <w:t>；</w:t>
      </w:r>
    </w:p>
    <w:p w14:paraId="38F106BF">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shd w:val="clear" w:color="auto" w:fill="FFFFFF"/>
          <w:lang w:val="en-US" w:eastAsia="zh-CN"/>
        </w:rPr>
        <w:t>3、</w:t>
      </w:r>
      <w:r>
        <w:rPr>
          <w:rFonts w:hint="eastAsia" w:ascii="宋体" w:hAnsi="宋体" w:eastAsia="宋体" w:cs="宋体"/>
          <w:color w:val="000000"/>
          <w:sz w:val="21"/>
          <w:szCs w:val="21"/>
          <w:highlight w:val="none"/>
        </w:rPr>
        <w:t>乙方</w:t>
      </w:r>
      <w:r>
        <w:rPr>
          <w:rFonts w:hint="eastAsia" w:ascii="宋体" w:hAnsi="宋体" w:eastAsia="宋体" w:cs="宋体"/>
          <w:color w:val="000000"/>
          <w:sz w:val="21"/>
          <w:szCs w:val="21"/>
          <w:highlight w:val="none"/>
          <w:shd w:val="clear" w:color="auto" w:fill="FFFFFF"/>
        </w:rPr>
        <w:t>未经</w:t>
      </w:r>
      <w:r>
        <w:rPr>
          <w:rFonts w:hint="eastAsia" w:ascii="宋体" w:hAnsi="宋体" w:eastAsia="宋体" w:cs="宋体"/>
          <w:color w:val="000000"/>
          <w:sz w:val="21"/>
          <w:szCs w:val="21"/>
          <w:highlight w:val="none"/>
          <w:shd w:val="clear" w:color="auto" w:fill="FFFFFF"/>
          <w:lang w:val="en-US" w:eastAsia="zh-CN"/>
        </w:rPr>
        <w:t>甲方</w:t>
      </w:r>
      <w:r>
        <w:rPr>
          <w:rFonts w:hint="eastAsia" w:ascii="宋体" w:hAnsi="宋体" w:eastAsia="宋体" w:cs="宋体"/>
          <w:color w:val="000000"/>
          <w:sz w:val="21"/>
          <w:szCs w:val="21"/>
          <w:highlight w:val="none"/>
          <w:shd w:val="clear" w:color="auto" w:fill="FFFFFF"/>
        </w:rPr>
        <w:t>许可不得</w:t>
      </w:r>
      <w:r>
        <w:rPr>
          <w:rFonts w:hint="eastAsia" w:ascii="宋体" w:hAnsi="宋体" w:eastAsia="宋体" w:cs="宋体"/>
          <w:color w:val="000000"/>
          <w:sz w:val="21"/>
          <w:szCs w:val="21"/>
          <w:highlight w:val="none"/>
          <w:shd w:val="clear" w:color="auto" w:fill="FFFFFF"/>
          <w:lang w:val="en-US" w:eastAsia="zh-CN"/>
        </w:rPr>
        <w:t>将</w:t>
      </w:r>
      <w:r>
        <w:rPr>
          <w:rFonts w:hint="eastAsia" w:ascii="宋体" w:hAnsi="宋体" w:eastAsia="宋体" w:cs="宋体"/>
          <w:color w:val="000000"/>
          <w:sz w:val="21"/>
          <w:szCs w:val="21"/>
          <w:highlight w:val="none"/>
          <w:lang w:val="en-US" w:eastAsia="zh-CN"/>
        </w:rPr>
        <w:t>修志编纂</w:t>
      </w:r>
      <w:r>
        <w:rPr>
          <w:rFonts w:hint="eastAsia" w:ascii="宋体" w:hAnsi="宋体" w:eastAsia="宋体" w:cs="宋体"/>
          <w:color w:val="000000"/>
          <w:sz w:val="21"/>
          <w:szCs w:val="21"/>
          <w:highlight w:val="none"/>
          <w:shd w:val="clear" w:color="auto" w:fill="FFFFFF"/>
          <w:lang w:val="en-US" w:eastAsia="zh-CN"/>
        </w:rPr>
        <w:t>相关内容</w:t>
      </w:r>
      <w:r>
        <w:rPr>
          <w:rFonts w:hint="eastAsia" w:ascii="宋体" w:hAnsi="宋体" w:eastAsia="宋体" w:cs="宋体"/>
          <w:color w:val="000000"/>
          <w:sz w:val="21"/>
          <w:szCs w:val="21"/>
          <w:highlight w:val="none"/>
          <w:shd w:val="clear" w:color="auto" w:fill="FFFFFF"/>
        </w:rPr>
        <w:t>外泄或给第三方提供；</w:t>
      </w:r>
      <w:r>
        <w:rPr>
          <w:rFonts w:hint="eastAsia" w:ascii="宋体" w:hAnsi="宋体" w:eastAsia="宋体" w:cs="宋体"/>
          <w:color w:val="000000"/>
          <w:sz w:val="21"/>
          <w:szCs w:val="21"/>
          <w:highlight w:val="none"/>
        </w:rPr>
        <w:t>如出现乙方</w:t>
      </w:r>
      <w:r>
        <w:rPr>
          <w:rFonts w:hint="eastAsia" w:ascii="宋体" w:hAnsi="宋体" w:eastAsia="宋体" w:cs="宋体"/>
          <w:color w:val="000000"/>
          <w:sz w:val="21"/>
          <w:szCs w:val="21"/>
          <w:highlight w:val="none"/>
          <w:shd w:val="clear" w:color="auto" w:fill="FFFFFF"/>
        </w:rPr>
        <w:t>外泄或给第三方提供给甲方造成损失的</w:t>
      </w:r>
      <w:r>
        <w:rPr>
          <w:rFonts w:hint="eastAsia" w:ascii="宋体" w:hAnsi="宋体" w:eastAsia="宋体" w:cs="宋体"/>
          <w:color w:val="000000"/>
          <w:sz w:val="21"/>
          <w:szCs w:val="21"/>
          <w:highlight w:val="none"/>
        </w:rPr>
        <w:t>，乙方应负责承担由此造成的一切责任和损失。</w:t>
      </w:r>
    </w:p>
    <w:p w14:paraId="78BA8004">
      <w:pPr>
        <w:keepNext w:val="0"/>
        <w:keepLines w:val="0"/>
        <w:pageBreakBefore w:val="0"/>
        <w:widowControl w:val="0"/>
        <w:kinsoku/>
        <w:wordWrap/>
        <w:overflowPunct/>
        <w:topLinePunct w:val="0"/>
        <w:autoSpaceDE/>
        <w:autoSpaceDN/>
        <w:bidi w:val="0"/>
        <w:adjustRightInd/>
        <w:snapToGrid/>
        <w:spacing w:beforeAutospacing="0" w:afterAutospacing="0"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shd w:val="clear" w:color="auto" w:fill="FFFFFF"/>
        </w:rPr>
        <w:t>第</w:t>
      </w:r>
      <w:r>
        <w:rPr>
          <w:rFonts w:hint="eastAsia" w:ascii="宋体" w:hAnsi="宋体" w:eastAsia="宋体" w:cs="宋体"/>
          <w:b/>
          <w:bCs/>
          <w:color w:val="000000"/>
          <w:sz w:val="21"/>
          <w:szCs w:val="21"/>
          <w:highlight w:val="none"/>
          <w:shd w:val="clear" w:color="auto" w:fill="FFFFFF"/>
          <w:lang w:val="en-US" w:eastAsia="zh-CN"/>
        </w:rPr>
        <w:t>十</w:t>
      </w:r>
      <w:r>
        <w:rPr>
          <w:rFonts w:hint="eastAsia" w:ascii="宋体" w:hAnsi="宋体" w:eastAsia="宋体" w:cs="宋体"/>
          <w:b/>
          <w:bCs/>
          <w:color w:val="000000"/>
          <w:sz w:val="21"/>
          <w:szCs w:val="21"/>
          <w:highlight w:val="none"/>
          <w:shd w:val="clear" w:color="auto" w:fill="FFFFFF"/>
        </w:rPr>
        <w:t>条 考核（验收）标准和方法</w:t>
      </w:r>
    </w:p>
    <w:p w14:paraId="3E85E137">
      <w:pPr>
        <w:pStyle w:val="3"/>
        <w:keepNext w:val="0"/>
        <w:keepLines w:val="0"/>
        <w:pageBreakBefore w:val="0"/>
        <w:widowControl w:val="0"/>
        <w:kinsoku/>
        <w:wordWrap/>
        <w:overflowPunct/>
        <w:topLinePunct w:val="0"/>
        <w:autoSpaceDE/>
        <w:autoSpaceDN/>
        <w:bidi w:val="0"/>
        <w:spacing w:beforeAutospacing="0" w:after="0" w:afterAutospacing="0" w:line="324"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现行的国家标准或国家行政部门颁布的法律法规、规章制度等，是项目验收的重要依据，</w:t>
      </w:r>
      <w:r>
        <w:rPr>
          <w:rFonts w:hint="eastAsia" w:ascii="宋体" w:hAnsi="宋体" w:eastAsia="宋体" w:cs="宋体"/>
          <w:color w:val="000000"/>
          <w:sz w:val="21"/>
          <w:szCs w:val="21"/>
          <w:highlight w:val="none"/>
          <w:lang w:val="en-US" w:eastAsia="zh-CN"/>
        </w:rPr>
        <w:t>甲方</w:t>
      </w:r>
      <w:r>
        <w:rPr>
          <w:rFonts w:hint="eastAsia" w:ascii="宋体" w:hAnsi="宋体" w:eastAsia="宋体" w:cs="宋体"/>
          <w:color w:val="000000"/>
          <w:sz w:val="21"/>
          <w:szCs w:val="21"/>
          <w:highlight w:val="none"/>
        </w:rPr>
        <w:t>单位根据有关规范、规定及项目要求对服务进行检查或考核，</w:t>
      </w:r>
      <w:r>
        <w:rPr>
          <w:rFonts w:hint="eastAsia" w:ascii="宋体" w:hAnsi="宋体" w:eastAsia="宋体" w:cs="宋体"/>
          <w:color w:val="000000"/>
          <w:sz w:val="21"/>
          <w:szCs w:val="21"/>
          <w:highlight w:val="none"/>
          <w:lang w:val="en-US" w:eastAsia="zh-CN"/>
        </w:rPr>
        <w:t>乙方</w:t>
      </w:r>
      <w:r>
        <w:rPr>
          <w:rFonts w:hint="eastAsia" w:ascii="宋体" w:hAnsi="宋体" w:eastAsia="宋体" w:cs="宋体"/>
          <w:color w:val="000000"/>
          <w:sz w:val="21"/>
          <w:szCs w:val="21"/>
          <w:highlight w:val="none"/>
        </w:rPr>
        <w:t>须接受</w:t>
      </w:r>
      <w:r>
        <w:rPr>
          <w:rFonts w:hint="eastAsia" w:ascii="宋体" w:hAnsi="宋体" w:eastAsia="宋体" w:cs="宋体"/>
          <w:color w:val="000000"/>
          <w:sz w:val="21"/>
          <w:szCs w:val="21"/>
          <w:highlight w:val="none"/>
          <w:lang w:val="en-US" w:eastAsia="zh-CN"/>
        </w:rPr>
        <w:t>甲方</w:t>
      </w:r>
      <w:r>
        <w:rPr>
          <w:rFonts w:hint="eastAsia" w:ascii="宋体" w:hAnsi="宋体" w:eastAsia="宋体" w:cs="宋体"/>
          <w:color w:val="000000"/>
          <w:sz w:val="21"/>
          <w:szCs w:val="21"/>
          <w:highlight w:val="none"/>
        </w:rPr>
        <w:t>的各类考核或检查；若验收不通过或服务质量不符合采购要求，</w:t>
      </w:r>
      <w:r>
        <w:rPr>
          <w:rFonts w:hint="eastAsia" w:ascii="宋体" w:hAnsi="宋体" w:eastAsia="宋体" w:cs="宋体"/>
          <w:color w:val="000000"/>
          <w:sz w:val="21"/>
          <w:szCs w:val="21"/>
          <w:highlight w:val="none"/>
          <w:lang w:val="en-US" w:eastAsia="zh-CN"/>
        </w:rPr>
        <w:t>乙方</w:t>
      </w:r>
      <w:r>
        <w:rPr>
          <w:rFonts w:hint="eastAsia" w:ascii="宋体" w:hAnsi="宋体" w:eastAsia="宋体" w:cs="宋体"/>
          <w:color w:val="000000"/>
          <w:sz w:val="21"/>
          <w:szCs w:val="21"/>
          <w:highlight w:val="none"/>
        </w:rPr>
        <w:t>应在一定期限以</w:t>
      </w:r>
      <w:r>
        <w:rPr>
          <w:rFonts w:hint="eastAsia" w:ascii="宋体" w:hAnsi="宋体" w:eastAsia="宋体" w:cs="宋体"/>
          <w:color w:val="000000"/>
          <w:sz w:val="21"/>
          <w:szCs w:val="21"/>
          <w:highlight w:val="none"/>
          <w:lang w:val="en-US" w:eastAsia="zh-CN"/>
        </w:rPr>
        <w:t>甲方</w:t>
      </w:r>
      <w:r>
        <w:rPr>
          <w:rFonts w:hint="eastAsia" w:ascii="宋体" w:hAnsi="宋体" w:eastAsia="宋体" w:cs="宋体"/>
          <w:color w:val="000000"/>
          <w:sz w:val="21"/>
          <w:szCs w:val="21"/>
          <w:highlight w:val="none"/>
        </w:rPr>
        <w:t>要求的标准进行整改或进一步完善，并再次进行考核或检查，若</w:t>
      </w:r>
      <w:r>
        <w:rPr>
          <w:rFonts w:hint="eastAsia" w:ascii="宋体" w:hAnsi="宋体" w:eastAsia="宋体" w:cs="宋体"/>
          <w:color w:val="000000"/>
          <w:sz w:val="21"/>
          <w:szCs w:val="21"/>
          <w:highlight w:val="none"/>
          <w:lang w:val="en-US" w:eastAsia="zh-CN"/>
        </w:rPr>
        <w:t>乙方</w:t>
      </w:r>
      <w:r>
        <w:rPr>
          <w:rFonts w:hint="eastAsia" w:ascii="宋体" w:hAnsi="宋体" w:eastAsia="宋体" w:cs="宋体"/>
          <w:color w:val="000000"/>
          <w:sz w:val="21"/>
          <w:szCs w:val="21"/>
          <w:highlight w:val="none"/>
        </w:rPr>
        <w:t>在接受检查整改后最终仍未按要求提供符合要求和服务，</w:t>
      </w:r>
      <w:r>
        <w:rPr>
          <w:rFonts w:hint="eastAsia" w:ascii="宋体" w:hAnsi="宋体" w:eastAsia="宋体" w:cs="宋体"/>
          <w:color w:val="000000"/>
          <w:sz w:val="21"/>
          <w:szCs w:val="21"/>
          <w:highlight w:val="none"/>
          <w:lang w:val="en-US" w:eastAsia="zh-CN"/>
        </w:rPr>
        <w:t>甲方</w:t>
      </w:r>
      <w:r>
        <w:rPr>
          <w:rFonts w:hint="eastAsia" w:ascii="宋体" w:hAnsi="宋体" w:eastAsia="宋体" w:cs="宋体"/>
          <w:color w:val="000000"/>
          <w:sz w:val="21"/>
          <w:szCs w:val="21"/>
          <w:highlight w:val="none"/>
        </w:rPr>
        <w:t>有权按违约予以撤项，由此产生的一切责任和费用均由</w:t>
      </w:r>
      <w:r>
        <w:rPr>
          <w:rFonts w:hint="eastAsia" w:ascii="宋体" w:hAnsi="宋体" w:eastAsia="宋体" w:cs="宋体"/>
          <w:color w:val="000000"/>
          <w:sz w:val="21"/>
          <w:szCs w:val="21"/>
          <w:highlight w:val="none"/>
          <w:lang w:val="en-US" w:eastAsia="zh-CN"/>
        </w:rPr>
        <w:t>乙方</w:t>
      </w:r>
      <w:r>
        <w:rPr>
          <w:rFonts w:hint="eastAsia" w:ascii="宋体" w:hAnsi="宋体" w:eastAsia="宋体" w:cs="宋体"/>
          <w:color w:val="000000"/>
          <w:sz w:val="21"/>
          <w:szCs w:val="21"/>
          <w:highlight w:val="none"/>
        </w:rPr>
        <w:t>承担</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具体程序如下：</w:t>
      </w:r>
    </w:p>
    <w:p w14:paraId="6535685A">
      <w:pPr>
        <w:keepNext w:val="0"/>
        <w:keepLines w:val="0"/>
        <w:pageBreakBefore w:val="0"/>
        <w:widowControl w:val="0"/>
        <w:kinsoku/>
        <w:wordWrap/>
        <w:overflowPunct/>
        <w:topLinePunct w:val="0"/>
        <w:autoSpaceDE/>
        <w:autoSpaceDN/>
        <w:bidi w:val="0"/>
        <w:spacing w:beforeAutospacing="0" w:afterAutospacing="0" w:line="324" w:lineRule="auto"/>
        <w:ind w:firstLine="420" w:firstLineChars="200"/>
        <w:textAlignment w:val="auto"/>
        <w:rPr>
          <w:rFonts w:hint="eastAsia" w:ascii="宋体" w:hAnsi="宋体" w:eastAsia="宋体" w:cs="宋体"/>
          <w:color w:val="000000"/>
          <w:sz w:val="21"/>
          <w:szCs w:val="21"/>
          <w:highlight w:val="none"/>
          <w:shd w:val="clear" w:color="auto" w:fill="FFFFFF"/>
          <w:lang w:eastAsia="zh-CN"/>
        </w:rPr>
      </w:pPr>
      <w:r>
        <w:rPr>
          <w:rFonts w:hint="eastAsia" w:ascii="宋体" w:hAnsi="宋体" w:eastAsia="宋体" w:cs="宋体"/>
          <w:color w:val="000000"/>
          <w:sz w:val="21"/>
          <w:szCs w:val="21"/>
          <w:highlight w:val="none"/>
          <w:shd w:val="clear" w:color="auto" w:fill="FFFFFF"/>
          <w:lang w:eastAsia="zh-CN"/>
        </w:rPr>
        <w:t>（</w:t>
      </w:r>
      <w:r>
        <w:rPr>
          <w:rFonts w:hint="eastAsia" w:ascii="宋体" w:hAnsi="宋体" w:eastAsia="宋体" w:cs="宋体"/>
          <w:color w:val="000000"/>
          <w:sz w:val="21"/>
          <w:szCs w:val="21"/>
          <w:highlight w:val="none"/>
          <w:shd w:val="clear" w:color="auto" w:fill="FFFFFF"/>
          <w:lang w:val="en-US" w:eastAsia="zh-CN"/>
        </w:rPr>
        <w:t>1</w:t>
      </w:r>
      <w:r>
        <w:rPr>
          <w:rFonts w:hint="eastAsia" w:ascii="宋体" w:hAnsi="宋体" w:eastAsia="宋体" w:cs="宋体"/>
          <w:color w:val="000000"/>
          <w:sz w:val="21"/>
          <w:szCs w:val="21"/>
          <w:highlight w:val="none"/>
          <w:shd w:val="clear" w:color="auto" w:fill="FFFFFF"/>
          <w:lang w:eastAsia="zh-CN"/>
        </w:rPr>
        <w:t>）</w:t>
      </w:r>
      <w:r>
        <w:rPr>
          <w:rFonts w:hint="eastAsia" w:ascii="宋体" w:hAnsi="宋体" w:eastAsia="宋体" w:cs="宋体"/>
          <w:color w:val="000000"/>
          <w:sz w:val="21"/>
          <w:szCs w:val="21"/>
          <w:highlight w:val="none"/>
          <w:shd w:val="clear" w:color="auto" w:fill="FFFFFF"/>
        </w:rPr>
        <w:t>若有验收程序，甲乙双方必须同时在场，乙方所提供的服务不符合合同内容规定的，甲方有权拒绝验收。乙方应及时按本合同内容规定和甲方要求免费进行整改，直至验收合格，视为乙方按本合同规定完成服务</w:t>
      </w:r>
      <w:r>
        <w:rPr>
          <w:rFonts w:hint="eastAsia" w:ascii="宋体" w:hAnsi="宋体" w:eastAsia="宋体" w:cs="宋体"/>
          <w:color w:val="000000"/>
          <w:sz w:val="21"/>
          <w:szCs w:val="21"/>
          <w:highlight w:val="none"/>
          <w:shd w:val="clear" w:color="auto" w:fill="FFFFFF"/>
          <w:lang w:eastAsia="zh-CN"/>
        </w:rPr>
        <w:t>。</w:t>
      </w:r>
    </w:p>
    <w:p w14:paraId="1B585592">
      <w:pPr>
        <w:keepNext w:val="0"/>
        <w:keepLines w:val="0"/>
        <w:pageBreakBefore w:val="0"/>
        <w:widowControl w:val="0"/>
        <w:kinsoku/>
        <w:wordWrap/>
        <w:overflowPunct/>
        <w:topLinePunct w:val="0"/>
        <w:autoSpaceDE/>
        <w:autoSpaceDN/>
        <w:bidi w:val="0"/>
        <w:spacing w:beforeAutospacing="0" w:afterAutospacing="0" w:line="324" w:lineRule="auto"/>
        <w:ind w:firstLine="420" w:firstLineChars="200"/>
        <w:textAlignment w:val="auto"/>
        <w:rPr>
          <w:rFonts w:hint="eastAsia" w:ascii="宋体" w:hAnsi="宋体" w:eastAsia="宋体" w:cs="宋体"/>
          <w:b/>
          <w:bCs/>
          <w:color w:val="000000"/>
          <w:sz w:val="21"/>
          <w:szCs w:val="21"/>
          <w:highlight w:val="none"/>
        </w:rPr>
      </w:pPr>
      <w:r>
        <w:rPr>
          <w:rFonts w:hint="eastAsia" w:ascii="宋体" w:hAnsi="宋体" w:eastAsia="宋体" w:cs="宋体"/>
          <w:color w:val="000000"/>
          <w:sz w:val="21"/>
          <w:szCs w:val="21"/>
          <w:highlight w:val="none"/>
          <w:shd w:val="clear" w:color="auto" w:fill="FFFFFF"/>
          <w:lang w:eastAsia="zh-CN"/>
        </w:rPr>
        <w:t>（</w:t>
      </w:r>
      <w:r>
        <w:rPr>
          <w:rFonts w:hint="eastAsia" w:ascii="宋体" w:hAnsi="宋体" w:eastAsia="宋体" w:cs="宋体"/>
          <w:color w:val="000000"/>
          <w:sz w:val="21"/>
          <w:szCs w:val="21"/>
          <w:highlight w:val="none"/>
          <w:shd w:val="clear" w:color="auto" w:fill="FFFFFF"/>
          <w:lang w:val="en-US" w:eastAsia="zh-CN"/>
        </w:rPr>
        <w:t>2</w:t>
      </w:r>
      <w:r>
        <w:rPr>
          <w:rFonts w:hint="eastAsia" w:ascii="宋体" w:hAnsi="宋体" w:eastAsia="宋体" w:cs="宋体"/>
          <w:color w:val="000000"/>
          <w:sz w:val="21"/>
          <w:szCs w:val="21"/>
          <w:highlight w:val="none"/>
          <w:shd w:val="clear" w:color="auto" w:fill="FFFFFF"/>
          <w:lang w:eastAsia="zh-CN"/>
        </w:rPr>
        <w:t>）</w:t>
      </w:r>
      <w:r>
        <w:rPr>
          <w:rFonts w:hint="eastAsia" w:ascii="宋体" w:hAnsi="宋体" w:eastAsia="宋体" w:cs="宋体"/>
          <w:color w:val="000000"/>
          <w:sz w:val="21"/>
          <w:szCs w:val="21"/>
          <w:highlight w:val="none"/>
          <w:shd w:val="clear" w:color="auto" w:fill="FFFFFF"/>
        </w:rPr>
        <w:t>在经过乙方两次限期整改后，服务仍达不到合同文件规定内容的，甲方有权拒收，并可以解除合同，由此引起甲方损失及赔偿责任由乙方承担</w:t>
      </w:r>
      <w:r>
        <w:rPr>
          <w:rFonts w:hint="eastAsia" w:ascii="宋体" w:hAnsi="宋体" w:eastAsia="宋体" w:cs="宋体"/>
          <w:color w:val="000000"/>
          <w:sz w:val="21"/>
          <w:szCs w:val="21"/>
          <w:highlight w:val="none"/>
          <w:shd w:val="clear" w:color="auto" w:fill="FFFFFF"/>
          <w:lang w:eastAsia="zh-CN"/>
        </w:rPr>
        <w:t>。</w:t>
      </w:r>
    </w:p>
    <w:p w14:paraId="460B77BF">
      <w:pPr>
        <w:pStyle w:val="5"/>
        <w:keepNext w:val="0"/>
        <w:keepLines w:val="0"/>
        <w:pageBreakBefore w:val="0"/>
        <w:shd w:val="clear" w:color="auto" w:fill="FFFFFF"/>
        <w:wordWrap/>
        <w:overflowPunct/>
        <w:topLinePunct w:val="0"/>
        <w:bidi w:val="0"/>
        <w:spacing w:beforeAutospacing="0" w:afterAutospacing="0" w:line="324" w:lineRule="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第</w:t>
      </w:r>
      <w:r>
        <w:rPr>
          <w:rFonts w:hint="eastAsia" w:ascii="宋体" w:hAnsi="宋体" w:eastAsia="宋体" w:cs="宋体"/>
          <w:b/>
          <w:bCs/>
          <w:color w:val="000000"/>
          <w:sz w:val="21"/>
          <w:szCs w:val="21"/>
          <w:highlight w:val="none"/>
          <w:lang w:val="en-US" w:eastAsia="zh-CN"/>
        </w:rPr>
        <w:t>十一</w:t>
      </w:r>
      <w:r>
        <w:rPr>
          <w:rFonts w:hint="eastAsia" w:ascii="宋体" w:hAnsi="宋体" w:eastAsia="宋体" w:cs="宋体"/>
          <w:b/>
          <w:bCs/>
          <w:color w:val="000000"/>
          <w:sz w:val="21"/>
          <w:szCs w:val="21"/>
          <w:highlight w:val="none"/>
        </w:rPr>
        <w:t>条  违约责任</w:t>
      </w:r>
    </w:p>
    <w:p w14:paraId="799BAB34">
      <w:pPr>
        <w:keepNext w:val="0"/>
        <w:keepLines w:val="0"/>
        <w:pageBreakBefore w:val="0"/>
        <w:wordWrap/>
        <w:overflowPunct/>
        <w:topLinePunct w:val="0"/>
        <w:bidi w:val="0"/>
        <w:spacing w:beforeAutospacing="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1、合同违约情况按《中华人民共和国民法典》中的相关条款执行。</w:t>
      </w:r>
    </w:p>
    <w:p w14:paraId="240B3C76">
      <w:pPr>
        <w:keepNext w:val="0"/>
        <w:keepLines w:val="0"/>
        <w:pageBreakBefore w:val="0"/>
        <w:wordWrap/>
        <w:overflowPunct/>
        <w:topLinePunct w:val="0"/>
        <w:bidi w:val="0"/>
        <w:spacing w:beforeAutospacing="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2、甲乙双方必须遵守本合同并执行合同中的各项规定，保证本合同的正常履行。</w:t>
      </w:r>
    </w:p>
    <w:p w14:paraId="23D7A4D5">
      <w:pPr>
        <w:keepNext w:val="0"/>
        <w:keepLines w:val="0"/>
        <w:pageBreakBefore w:val="0"/>
        <w:wordWrap/>
        <w:overflowPunct/>
        <w:topLinePunct w:val="0"/>
        <w:bidi w:val="0"/>
        <w:spacing w:beforeAutospacing="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3、如因乙方工作人员在履行职务过程中</w:t>
      </w:r>
      <w:r>
        <w:rPr>
          <w:rFonts w:hint="eastAsia" w:ascii="宋体" w:hAnsi="宋体" w:eastAsia="宋体" w:cs="宋体"/>
          <w:color w:val="000000"/>
          <w:sz w:val="21"/>
          <w:szCs w:val="21"/>
          <w:highlight w:val="none"/>
          <w:lang w:eastAsia="zh-CN"/>
        </w:rPr>
        <w:t>的</w:t>
      </w:r>
      <w:r>
        <w:rPr>
          <w:rFonts w:hint="eastAsia" w:ascii="宋体" w:hAnsi="宋体" w:eastAsia="宋体" w:cs="宋体"/>
          <w:color w:val="000000"/>
          <w:sz w:val="21"/>
          <w:szCs w:val="21"/>
          <w:highlight w:val="none"/>
        </w:rPr>
        <w:t>疏忽、失职、过错等故意或者过失原因给甲方造成损失或侵害，包括但不限于甲方本身的财产损失、由此而导致的甲方对任何第三方的法律责任等，乙方对此均应承担全部的赔偿责任。</w:t>
      </w:r>
    </w:p>
    <w:p w14:paraId="1605297B">
      <w:pPr>
        <w:keepNext w:val="0"/>
        <w:keepLines w:val="0"/>
        <w:pageBreakBefore w:val="0"/>
        <w:wordWrap/>
        <w:overflowPunct/>
        <w:topLinePunct w:val="0"/>
        <w:bidi w:val="0"/>
        <w:spacing w:beforeAutospacing="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4、未按合同要求提供服务或质量不能满足技术要求，甲方有权终止合同并对乙方违约行为进行追究，同时按政府采购法的有关规定进行相应的处罚。</w:t>
      </w:r>
    </w:p>
    <w:p w14:paraId="553A6B2D">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第十</w:t>
      </w:r>
      <w:r>
        <w:rPr>
          <w:rFonts w:hint="eastAsia" w:ascii="宋体" w:hAnsi="宋体" w:eastAsia="宋体" w:cs="宋体"/>
          <w:b/>
          <w:color w:val="000000"/>
          <w:sz w:val="21"/>
          <w:szCs w:val="21"/>
          <w:highlight w:val="none"/>
          <w:lang w:val="en-US" w:eastAsia="zh-CN"/>
        </w:rPr>
        <w:t>二</w:t>
      </w:r>
      <w:r>
        <w:rPr>
          <w:rFonts w:hint="eastAsia" w:ascii="宋体" w:hAnsi="宋体" w:eastAsia="宋体" w:cs="宋体"/>
          <w:b/>
          <w:color w:val="000000"/>
          <w:sz w:val="21"/>
          <w:szCs w:val="21"/>
          <w:highlight w:val="none"/>
        </w:rPr>
        <w:t>条  合同的变更和终止</w:t>
      </w:r>
    </w:p>
    <w:p w14:paraId="269FC427">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除《中华人民共和国政府采购法》第49条、第50条第二款规定的情形外，本合同一经签订，甲乙双方不得擅自变更、中止或终止合同。</w:t>
      </w:r>
    </w:p>
    <w:p w14:paraId="539B5C3F">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第十</w:t>
      </w:r>
      <w:r>
        <w:rPr>
          <w:rFonts w:hint="eastAsia" w:ascii="宋体" w:hAnsi="宋体" w:eastAsia="宋体" w:cs="宋体"/>
          <w:b/>
          <w:color w:val="000000"/>
          <w:sz w:val="21"/>
          <w:szCs w:val="21"/>
          <w:highlight w:val="none"/>
          <w:lang w:val="en-US" w:eastAsia="zh-CN"/>
        </w:rPr>
        <w:t>三</w:t>
      </w:r>
      <w:r>
        <w:rPr>
          <w:rFonts w:hint="eastAsia" w:ascii="宋体" w:hAnsi="宋体" w:eastAsia="宋体" w:cs="宋体"/>
          <w:b/>
          <w:color w:val="000000"/>
          <w:sz w:val="21"/>
          <w:szCs w:val="21"/>
          <w:highlight w:val="none"/>
        </w:rPr>
        <w:t>条  解决合同纠纷的方式</w:t>
      </w:r>
    </w:p>
    <w:p w14:paraId="77B27989">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1</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rPr>
        <w:t>种方式解决争议：</w:t>
      </w:r>
    </w:p>
    <w:p w14:paraId="4E4B1226">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（1）向甲方所在地有管辖权的人民法院提起诉讼；</w:t>
      </w:r>
    </w:p>
    <w:p w14:paraId="1951BB71">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（2）向西安仲裁委员会按其仲裁规则申请仲裁。</w:t>
      </w:r>
    </w:p>
    <w:p w14:paraId="06C40919">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2、在仲裁期间，除双方有争议的部分外，本合同其他部分仍然有效，各方应继续履行。</w:t>
      </w:r>
    </w:p>
    <w:p w14:paraId="0FEA76AC">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第十</w:t>
      </w:r>
      <w:r>
        <w:rPr>
          <w:rFonts w:hint="eastAsia" w:ascii="宋体" w:hAnsi="宋体" w:eastAsia="宋体" w:cs="宋体"/>
          <w:b/>
          <w:color w:val="000000"/>
          <w:sz w:val="21"/>
          <w:szCs w:val="21"/>
          <w:highlight w:val="none"/>
          <w:lang w:val="en-US" w:eastAsia="zh-CN"/>
        </w:rPr>
        <w:t>四</w:t>
      </w:r>
      <w:r>
        <w:rPr>
          <w:rFonts w:hint="eastAsia" w:ascii="宋体" w:hAnsi="宋体" w:eastAsia="宋体" w:cs="宋体"/>
          <w:b/>
          <w:color w:val="000000"/>
          <w:sz w:val="21"/>
          <w:szCs w:val="21"/>
          <w:highlight w:val="none"/>
        </w:rPr>
        <w:t>条  附件</w:t>
      </w:r>
    </w:p>
    <w:p w14:paraId="2DA15623">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1、采购文件</w:t>
      </w:r>
    </w:p>
    <w:p w14:paraId="7FFE8451">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2、修改澄清文件</w:t>
      </w:r>
    </w:p>
    <w:p w14:paraId="2A32C146">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3、响应文件</w:t>
      </w:r>
    </w:p>
    <w:p w14:paraId="244F60DE">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4、成交通知书</w:t>
      </w:r>
    </w:p>
    <w:p w14:paraId="3B115EA3">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5、其他</w:t>
      </w:r>
    </w:p>
    <w:p w14:paraId="0356D955">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第十</w:t>
      </w:r>
      <w:r>
        <w:rPr>
          <w:rFonts w:hint="eastAsia" w:ascii="宋体" w:hAnsi="宋体" w:eastAsia="宋体" w:cs="宋体"/>
          <w:b/>
          <w:color w:val="000000"/>
          <w:sz w:val="21"/>
          <w:szCs w:val="21"/>
          <w:highlight w:val="none"/>
          <w:lang w:val="en-US" w:eastAsia="zh-CN"/>
        </w:rPr>
        <w:t>五</w:t>
      </w:r>
      <w:r>
        <w:rPr>
          <w:rFonts w:hint="eastAsia" w:ascii="宋体" w:hAnsi="宋体" w:eastAsia="宋体" w:cs="宋体"/>
          <w:b/>
          <w:color w:val="000000"/>
          <w:sz w:val="21"/>
          <w:szCs w:val="21"/>
          <w:highlight w:val="none"/>
        </w:rPr>
        <w:t>条  合同生效及其他</w:t>
      </w:r>
    </w:p>
    <w:p w14:paraId="65DA70A7">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1、合同经双方法定代表人或授权委托代理人签字并加盖单位公章后生效。</w:t>
      </w:r>
    </w:p>
    <w:p w14:paraId="63C634E8">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2、合同执行中涉及采购资金和采购内容修改或补充的，须经政府采购监管部门审批，并</w:t>
      </w:r>
      <w:r>
        <w:rPr>
          <w:rFonts w:hint="eastAsia" w:ascii="宋体" w:hAnsi="宋体" w:eastAsia="宋体" w:cs="宋体"/>
          <w:color w:val="000000"/>
          <w:sz w:val="21"/>
          <w:szCs w:val="21"/>
          <w:highlight w:val="none"/>
          <w:lang w:eastAsia="zh-CN"/>
        </w:rPr>
        <w:t>签订</w:t>
      </w:r>
      <w:r>
        <w:rPr>
          <w:rFonts w:hint="eastAsia" w:ascii="宋体" w:hAnsi="宋体" w:eastAsia="宋体" w:cs="宋体"/>
          <w:color w:val="000000"/>
          <w:sz w:val="21"/>
          <w:szCs w:val="21"/>
          <w:highlight w:val="none"/>
        </w:rPr>
        <w:t>书面补充协议报政府采购监督管理部门备案，方可作为主合同不可分割的一部分。</w:t>
      </w:r>
    </w:p>
    <w:p w14:paraId="6DEDF396">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3、本合同一式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份，自双方签章之日起</w:t>
      </w:r>
      <w:r>
        <w:rPr>
          <w:rFonts w:hint="eastAsia" w:ascii="宋体" w:hAnsi="宋体" w:eastAsia="宋体" w:cs="宋体"/>
          <w:color w:val="000000"/>
          <w:sz w:val="21"/>
          <w:szCs w:val="21"/>
          <w:highlight w:val="none"/>
          <w:lang w:eastAsia="zh-CN"/>
        </w:rPr>
        <w:t>生效</w:t>
      </w:r>
      <w:r>
        <w:rPr>
          <w:rFonts w:hint="eastAsia" w:ascii="宋体" w:hAnsi="宋体" w:eastAsia="宋体" w:cs="宋体"/>
          <w:color w:val="000000"/>
          <w:sz w:val="21"/>
          <w:szCs w:val="21"/>
          <w:highlight w:val="none"/>
        </w:rPr>
        <w:t>。甲方</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份，乙方</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份，政府采购代理机构壹份，同级财政部门备案壹份，具有同等法律效力。</w:t>
      </w:r>
    </w:p>
    <w:p w14:paraId="2CD59A6D">
      <w:pPr>
        <w:keepNext w:val="0"/>
        <w:keepLines w:val="0"/>
        <w:pageBreakBefore w:val="0"/>
        <w:wordWrap/>
        <w:overflowPunct/>
        <w:topLinePunct w:val="0"/>
        <w:bidi w:val="0"/>
        <w:spacing w:beforeAutospacing="0" w:afterAutospacing="0" w:line="324" w:lineRule="auto"/>
        <w:ind w:firstLine="422"/>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（以下无正文为合同签署页）</w:t>
      </w:r>
    </w:p>
    <w:p w14:paraId="07A22236">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甲方（盖章）：                          乙方（盖章）：                   </w:t>
      </w:r>
    </w:p>
    <w:p w14:paraId="4B970458">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法定代表人/授权代理人                  法定代表人/授权代理人             </w:t>
      </w:r>
    </w:p>
    <w:p w14:paraId="7A584100">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（签字或盖章）：                       （签字或盖章）：          </w:t>
      </w:r>
    </w:p>
    <w:p w14:paraId="1AE569C3">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地址：                                  地址：                        </w:t>
      </w:r>
    </w:p>
    <w:p w14:paraId="1E30088E">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电话：                                  电话：                    </w:t>
      </w:r>
    </w:p>
    <w:p w14:paraId="0A5A99AF">
      <w:pPr>
        <w:pStyle w:val="4"/>
        <w:keepNext w:val="0"/>
        <w:keepLines w:val="0"/>
        <w:pageBreakBefore w:val="0"/>
        <w:wordWrap/>
        <w:overflowPunct/>
        <w:topLinePunct w:val="0"/>
        <w:bidi w:val="0"/>
        <w:adjustRightInd w:val="0"/>
        <w:snapToGrid w:val="0"/>
        <w:spacing w:beforeAutospacing="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账户名称：                              账户名称：</w:t>
      </w:r>
    </w:p>
    <w:p w14:paraId="2977FB7B">
      <w:pPr>
        <w:pStyle w:val="4"/>
        <w:keepNext w:val="0"/>
        <w:keepLines w:val="0"/>
        <w:pageBreakBefore w:val="0"/>
        <w:wordWrap/>
        <w:overflowPunct/>
        <w:topLinePunct w:val="0"/>
        <w:bidi w:val="0"/>
        <w:adjustRightInd w:val="0"/>
        <w:snapToGrid w:val="0"/>
        <w:spacing w:beforeAutospacing="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账户号码：                              账户号码：</w:t>
      </w:r>
    </w:p>
    <w:p w14:paraId="55D59B7D">
      <w:pPr>
        <w:pStyle w:val="4"/>
        <w:keepNext w:val="0"/>
        <w:keepLines w:val="0"/>
        <w:pageBreakBefore w:val="0"/>
        <w:wordWrap/>
        <w:overflowPunct/>
        <w:topLinePunct w:val="0"/>
        <w:bidi w:val="0"/>
        <w:adjustRightInd w:val="0"/>
        <w:snapToGrid w:val="0"/>
        <w:spacing w:beforeAutospacing="0" w:afterAutospacing="0" w:line="324"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                              开户银行：</w:t>
      </w:r>
    </w:p>
    <w:p w14:paraId="536C2F6C">
      <w:pPr>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签约时间：                              签约时间： </w:t>
      </w:r>
      <w:r>
        <w:rPr>
          <w:rFonts w:hint="eastAsia" w:ascii="宋体" w:hAnsi="宋体" w:eastAsia="宋体" w:cs="宋体"/>
          <w:color w:val="000000"/>
          <w:sz w:val="21"/>
          <w:szCs w:val="21"/>
          <w:highlight w:val="none"/>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B4538A"/>
    <w:rsid w:val="45B4538A"/>
    <w:rsid w:val="7BFE5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99"/>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Calibri" w:hAnsi="Calibri" w:eastAsia="宋体" w:cs="Times New Roman"/>
      <w:lang w:val="en-US" w:eastAsia="zh-Hans"/>
    </w:rPr>
  </w:style>
  <w:style w:type="table" w:customStyle="1" w:styleId="9">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10">
    <w:name w:val="Table Text"/>
    <w:basedOn w:val="1"/>
    <w:qFormat/>
    <w:uiPriority w:val="0"/>
    <w:pPr>
      <w:kinsoku w:val="0"/>
      <w:autoSpaceDE w:val="0"/>
      <w:autoSpaceDN w:val="0"/>
      <w:adjustRightInd w:val="0"/>
      <w:snapToGrid w:val="0"/>
      <w:spacing w:before="240" w:line="329" w:lineRule="auto"/>
      <w:ind w:left="96" w:right="100" w:firstLine="200" w:firstLineChars="100"/>
      <w:jc w:val="center"/>
      <w:textAlignment w:val="baseline"/>
    </w:pPr>
    <w:rPr>
      <w:rFonts w:ascii="Times New Roman" w:hAnsi="Times New Roman"/>
      <w:snapToGrid w:val="0"/>
      <w:color w:val="FF0000"/>
      <w:kern w:val="0"/>
      <w:sz w:val="20"/>
      <w:szCs w:val="21"/>
    </w:rPr>
  </w:style>
  <w:style w:type="paragraph" w:customStyle="1" w:styleId="11">
    <w:name w:val="样式 首行缩进:  2 字符"/>
    <w:basedOn w:val="1"/>
    <w:qFormat/>
    <w:uiPriority w:val="0"/>
    <w:pPr>
      <w:spacing w:line="400" w:lineRule="exact"/>
      <w:ind w:firstLine="200" w:firstLineChars="200"/>
    </w:pPr>
    <w:rPr>
      <w:rFonts w:ascii="Times New Roman" w:hAnsi="Times New Roman"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2025-10-10T10:05:00Z</dcterms:created>
  <dc:creator>杜航</dc:creator>
  <cp:lastModifiedBy>杜航</cp:lastModifiedBy>
  <dcterms:modified xsi:type="dcterms:W3CDTF">2025-10-10T10:10:10Z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840A1B939B3D416E84EA3A483118FAFB_13</vt:lpwstr>
  </property>
  <property fmtid="{D5CDD505-2E9C-101B-9397-08002B2CF9AE}" pid="4" name="KSOTemplateDocerSaveRecord">
    <vt:lpwstr>eyJoZGlkIjoiNGVjNGI1ZWQxMDUyODY5ZDAxOTAyNjljNjE1NWUwNGQiLCJ1c2VySWQiOiIzMDgwODY2MDYifQ==</vt:lpwstr>
  </property>
</Properties>
</file>