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版本号：ZCXG-ZB-202506620251010001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残疾人高级技能培训项目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ZCXG-ZB-2025066</w:t>
      </w:r>
      <w:r>
        <w:br/>
      </w:r>
      <w:r>
        <w:br/>
      </w:r>
      <w:r>
        <w:br/>
      </w:r>
    </w:p>
    <w:p>
      <w:pPr>
        <w:pStyle w:val="null3"/>
        <w:jc w:val="center"/>
        <w:outlineLvl w:val="2"/>
      </w:pPr>
      <w:r>
        <w:rPr>
          <w:rFonts w:ascii="仿宋_GB2312" w:hAnsi="仿宋_GB2312" w:cs="仿宋_GB2312" w:eastAsia="仿宋_GB2312"/>
          <w:sz w:val="28"/>
          <w:b/>
        </w:rPr>
        <w:t>西安市雁塔区残疾人联合会</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西安市雁塔区残疾人联合会</w:t>
      </w:r>
      <w:r>
        <w:rPr>
          <w:rFonts w:ascii="仿宋_GB2312" w:hAnsi="仿宋_GB2312" w:cs="仿宋_GB2312" w:eastAsia="仿宋_GB2312"/>
        </w:rPr>
        <w:t>委托，拟对</w:t>
      </w:r>
      <w:r>
        <w:rPr>
          <w:rFonts w:ascii="仿宋_GB2312" w:hAnsi="仿宋_GB2312" w:cs="仿宋_GB2312" w:eastAsia="仿宋_GB2312"/>
        </w:rPr>
        <w:t>残疾人高级技能培训项目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ZCXG-ZB-2025066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残疾人高级技能培训项目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残疾人高级技能培训项目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财务状况报告：提供2024年度经审计的财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3、履约能力声明：提供具有履行合同所必需的设备和专业技术能力的承诺；</w:t>
      </w:r>
    </w:p>
    <w:p>
      <w:pPr>
        <w:pStyle w:val="null3"/>
      </w:pPr>
      <w:r>
        <w:rPr>
          <w:rFonts w:ascii="仿宋_GB2312" w:hAnsi="仿宋_GB2312" w:cs="仿宋_GB2312" w:eastAsia="仿宋_GB2312"/>
        </w:rPr>
        <w:t>4、纳税证明：提供投标截止日前六个月内已缴纳的至少一个月的纳税证明或完税证明，依法免税的单位应提供相关证明材料；</w:t>
      </w:r>
    </w:p>
    <w:p>
      <w:pPr>
        <w:pStyle w:val="null3"/>
      </w:pPr>
      <w:r>
        <w:rPr>
          <w:rFonts w:ascii="仿宋_GB2312" w:hAnsi="仿宋_GB2312" w:cs="仿宋_GB2312" w:eastAsia="仿宋_GB2312"/>
        </w:rPr>
        <w:t>5、社保证明：提供投标截止日前六个月内已缴存的至少一个月的社会保障资金缴存单据或社保机构开具的社会保险参保缴费情况证明，依法不需要缴纳社会保障资金的单位应提供相关证明材料；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6、三年无违法声明：参加政府采购活动前3年内，在经营活动中没有重大违法记录的书面声明；</w:t>
      </w:r>
    </w:p>
    <w:p>
      <w:pPr>
        <w:pStyle w:val="null3"/>
      </w:pPr>
      <w:r>
        <w:rPr>
          <w:rFonts w:ascii="仿宋_GB2312" w:hAnsi="仿宋_GB2312" w:cs="仿宋_GB2312" w:eastAsia="仿宋_GB2312"/>
        </w:rPr>
        <w:t>7、身份证明：法定代表人授权书（附法定代表人、被授权人身份证复印件）及被授权人身份证（法定代表人直接参加投标，须提供法定代表人身份证明及身份证原件）；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8、控股关系：单位负责人为同一人或者存在直接控股、管理关系的不同供应商，不得同时参加本项目采购活动；</w:t>
      </w:r>
    </w:p>
    <w:p>
      <w:pPr>
        <w:pStyle w:val="null3"/>
      </w:pPr>
      <w:r>
        <w:rPr>
          <w:rFonts w:ascii="仿宋_GB2312" w:hAnsi="仿宋_GB2312" w:cs="仿宋_GB2312" w:eastAsia="仿宋_GB2312"/>
        </w:rPr>
        <w:t>9、非联合体声明：本项目不接受联合体投标（格式自拟）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曲江大道中段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西安市雁塔区南二环老三届世纪星大厦8楼k座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代理服务费收费标准：根据《国家发展改革委关于进-步放开建设项目专业服务价格的通知》(发改价格[2015]299号)的有关规定执行。 代理费缴存账户： 开户名称：陕西众诚项目管理有限公司 开户银行：中国建设银行股份有限公司西安八里村支行 账 号：6105 0172 3700 0000 1337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西安市雁塔区残疾人联合会</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联系人：孙工</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地址：西安市雁塔区南二环老三届世纪星大厦8楼k座</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残疾人高级技能培训项目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1,385,000.00</w:t>
      </w:r>
    </w:p>
    <w:p>
      <w:pPr>
        <w:pStyle w:val="null3"/>
      </w:pPr>
      <w:r>
        <w:rPr>
          <w:rFonts w:ascii="仿宋_GB2312" w:hAnsi="仿宋_GB2312" w:cs="仿宋_GB2312" w:eastAsia="仿宋_GB2312"/>
        </w:rPr>
        <w:t>采购包最高限价（元）: 1,385,000.00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残疾人高级技能培训项目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标的名称：残疾人高级技能培训项目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提升残疾人职业技能，提高残疾人素质和职业能力，促进就业创业，使残疾人获得职业技能的可持续性。</w:t>
            </w:r>
          </w:p>
          <w:p>
            <w:pPr>
              <w:pStyle w:val="null3"/>
              <w:jc w:val="both"/>
            </w:pPr>
            <w:r>
              <w:rPr>
                <w:rFonts w:ascii="仿宋_GB2312" w:hAnsi="仿宋_GB2312" w:cs="仿宋_GB2312" w:eastAsia="仿宋_GB2312"/>
                <w:sz w:val="24"/>
                <w:b/>
              </w:rPr>
              <w:t>二、培训时间</w:t>
            </w:r>
          </w:p>
          <w:p>
            <w:pPr>
              <w:pStyle w:val="null3"/>
              <w:ind w:firstLine="480"/>
              <w:jc w:val="both"/>
            </w:pP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w:t>
            </w:r>
            <w:r>
              <w:rPr>
                <w:rFonts w:ascii="仿宋_GB2312" w:hAnsi="仿宋_GB2312" w:cs="仿宋_GB2312" w:eastAsia="仿宋_GB2312"/>
                <w:sz w:val="24"/>
              </w:rPr>
              <w:t>10月至12月</w:t>
            </w:r>
          </w:p>
          <w:p>
            <w:pPr>
              <w:pStyle w:val="null3"/>
              <w:jc w:val="both"/>
            </w:pPr>
            <w:r>
              <w:rPr>
                <w:rFonts w:ascii="仿宋_GB2312" w:hAnsi="仿宋_GB2312" w:cs="仿宋_GB2312" w:eastAsia="仿宋_GB2312"/>
                <w:sz w:val="24"/>
                <w:b/>
              </w:rPr>
              <w:t>三、培训地点</w:t>
            </w:r>
          </w:p>
          <w:p>
            <w:pPr>
              <w:pStyle w:val="null3"/>
              <w:ind w:firstLine="480"/>
              <w:jc w:val="both"/>
            </w:pPr>
            <w:r>
              <w:rPr>
                <w:rFonts w:ascii="仿宋_GB2312" w:hAnsi="仿宋_GB2312" w:cs="仿宋_GB2312" w:eastAsia="仿宋_GB2312"/>
                <w:sz w:val="24"/>
              </w:rPr>
              <w:t>采购人指定地点</w:t>
            </w:r>
          </w:p>
          <w:p>
            <w:pPr>
              <w:pStyle w:val="null3"/>
              <w:jc w:val="both"/>
            </w:pPr>
            <w:r>
              <w:rPr>
                <w:rFonts w:ascii="仿宋_GB2312" w:hAnsi="仿宋_GB2312" w:cs="仿宋_GB2312" w:eastAsia="仿宋_GB2312"/>
                <w:sz w:val="24"/>
                <w:b/>
              </w:rPr>
              <w:t>四、培训对象</w:t>
            </w:r>
          </w:p>
          <w:p>
            <w:pPr>
              <w:pStyle w:val="null3"/>
              <w:ind w:firstLine="480"/>
              <w:jc w:val="both"/>
            </w:pPr>
            <w:r>
              <w:rPr>
                <w:rFonts w:ascii="仿宋_GB2312" w:hAnsi="仿宋_GB2312" w:cs="仿宋_GB2312" w:eastAsia="仿宋_GB2312"/>
                <w:sz w:val="24"/>
              </w:rPr>
              <w:t>实施对象须同时具备以下条件：</w:t>
            </w:r>
          </w:p>
          <w:p>
            <w:pPr>
              <w:pStyle w:val="null3"/>
              <w:ind w:firstLine="480"/>
              <w:jc w:val="both"/>
            </w:pPr>
            <w:r>
              <w:rPr>
                <w:rFonts w:ascii="仿宋_GB2312" w:hAnsi="仿宋_GB2312" w:cs="仿宋_GB2312" w:eastAsia="仿宋_GB2312"/>
                <w:sz w:val="24"/>
              </w:rPr>
              <w:t>1.具有陕西省户籍并持有《中华人民共和国残疾人证》；</w:t>
            </w:r>
          </w:p>
          <w:p>
            <w:pPr>
              <w:pStyle w:val="null3"/>
              <w:ind w:firstLine="480"/>
              <w:jc w:val="both"/>
            </w:pPr>
            <w:r>
              <w:rPr>
                <w:rFonts w:ascii="仿宋_GB2312" w:hAnsi="仿宋_GB2312" w:cs="仿宋_GB2312" w:eastAsia="仿宋_GB2312"/>
                <w:sz w:val="24"/>
              </w:rPr>
              <w:t>2.处于就业年龄段；</w:t>
            </w:r>
          </w:p>
          <w:p>
            <w:pPr>
              <w:pStyle w:val="null3"/>
              <w:ind w:firstLine="480"/>
              <w:jc w:val="both"/>
            </w:pPr>
            <w:r>
              <w:rPr>
                <w:rFonts w:ascii="仿宋_GB2312" w:hAnsi="仿宋_GB2312" w:cs="仿宋_GB2312" w:eastAsia="仿宋_GB2312"/>
                <w:sz w:val="24"/>
              </w:rPr>
              <w:t>3.有劳动能力和就业意愿；</w:t>
            </w:r>
          </w:p>
          <w:p>
            <w:pPr>
              <w:pStyle w:val="null3"/>
              <w:ind w:firstLine="480"/>
              <w:jc w:val="both"/>
            </w:pPr>
            <w:r>
              <w:rPr>
                <w:rFonts w:ascii="仿宋_GB2312" w:hAnsi="仿宋_GB2312" w:cs="仿宋_GB2312" w:eastAsia="仿宋_GB2312"/>
                <w:sz w:val="24"/>
              </w:rPr>
              <w:t>4.具备接受培训的条件和能力；</w:t>
            </w:r>
          </w:p>
          <w:p>
            <w:pPr>
              <w:pStyle w:val="null3"/>
              <w:ind w:firstLine="480"/>
              <w:jc w:val="both"/>
            </w:pPr>
            <w:r>
              <w:rPr>
                <w:rFonts w:ascii="仿宋_GB2312" w:hAnsi="仿宋_GB2312" w:cs="仿宋_GB2312" w:eastAsia="仿宋_GB2312"/>
                <w:sz w:val="24"/>
              </w:rPr>
              <w:t>5.未就业有就业(创业)愿望或少部分已就业有培训需求。</w:t>
            </w:r>
          </w:p>
          <w:p>
            <w:pPr>
              <w:pStyle w:val="null3"/>
              <w:ind w:firstLine="480"/>
              <w:jc w:val="both"/>
            </w:pPr>
            <w:r>
              <w:rPr>
                <w:rFonts w:ascii="仿宋_GB2312" w:hAnsi="仿宋_GB2312" w:cs="仿宋_GB2312" w:eastAsia="仿宋_GB2312"/>
                <w:sz w:val="24"/>
              </w:rPr>
              <w:t>具备条件</w:t>
            </w:r>
            <w:r>
              <w:rPr>
                <w:rFonts w:ascii="仿宋_GB2312" w:hAnsi="仿宋_GB2312" w:cs="仿宋_GB2312" w:eastAsia="仿宋_GB2312"/>
                <w:sz w:val="24"/>
              </w:rPr>
              <w:t>1和2的智力、精神及重度肢体残疾人家庭一名直系亲属亦可作为实施对象。</w:t>
            </w:r>
          </w:p>
          <w:p>
            <w:pPr>
              <w:pStyle w:val="null3"/>
              <w:jc w:val="both"/>
            </w:pPr>
            <w:r>
              <w:rPr>
                <w:rFonts w:ascii="仿宋_GB2312" w:hAnsi="仿宋_GB2312" w:cs="仿宋_GB2312" w:eastAsia="仿宋_GB2312"/>
                <w:sz w:val="24"/>
                <w:b/>
              </w:rPr>
              <w:t>五、培训人数</w:t>
            </w:r>
          </w:p>
          <w:p>
            <w:pPr>
              <w:pStyle w:val="null3"/>
              <w:ind w:firstLine="480"/>
              <w:jc w:val="both"/>
            </w:pPr>
            <w:r>
              <w:rPr>
                <w:rFonts w:ascii="仿宋_GB2312" w:hAnsi="仿宋_GB2312" w:cs="仿宋_GB2312" w:eastAsia="仿宋_GB2312"/>
                <w:sz w:val="24"/>
              </w:rPr>
              <w:t>本此培训任务为</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0人。</w:t>
            </w:r>
          </w:p>
          <w:p>
            <w:pPr>
              <w:pStyle w:val="null3"/>
              <w:jc w:val="both"/>
            </w:pPr>
            <w:r>
              <w:rPr>
                <w:rFonts w:ascii="仿宋_GB2312" w:hAnsi="仿宋_GB2312" w:cs="仿宋_GB2312" w:eastAsia="仿宋_GB2312"/>
                <w:sz w:val="24"/>
                <w:b/>
              </w:rPr>
              <w:t>六、服务内容及要求</w:t>
            </w:r>
          </w:p>
          <w:p>
            <w:pPr>
              <w:pStyle w:val="null3"/>
              <w:ind w:firstLine="480"/>
              <w:jc w:val="both"/>
            </w:pPr>
            <w:r>
              <w:rPr>
                <w:rFonts w:ascii="仿宋_GB2312" w:hAnsi="仿宋_GB2312" w:cs="仿宋_GB2312" w:eastAsia="仿宋_GB2312"/>
                <w:sz w:val="24"/>
              </w:rPr>
              <w:t>1.培训每期22天，每期每班次不超过35人。</w:t>
            </w:r>
          </w:p>
          <w:p>
            <w:pPr>
              <w:pStyle w:val="null3"/>
              <w:ind w:firstLine="480"/>
              <w:jc w:val="both"/>
            </w:pPr>
            <w:r>
              <w:rPr>
                <w:rFonts w:ascii="仿宋_GB2312" w:hAnsi="仿宋_GB2312" w:cs="仿宋_GB2312" w:eastAsia="仿宋_GB2312"/>
                <w:sz w:val="24"/>
              </w:rPr>
              <w:t>2.培训机构按规定在开班前 10 个工作日向区残联培训业务管理部门提出开班申请，并报送相关规范性资料。区残联培训业务管理部门在收到开班申请 5 个工作日内，将审查结果答复培训机构。</w:t>
            </w:r>
          </w:p>
          <w:p>
            <w:pPr>
              <w:pStyle w:val="null3"/>
              <w:ind w:firstLine="480"/>
              <w:jc w:val="both"/>
            </w:pPr>
            <w:r>
              <w:rPr>
                <w:rFonts w:ascii="仿宋_GB2312" w:hAnsi="仿宋_GB2312" w:cs="仿宋_GB2312" w:eastAsia="仿宋_GB2312"/>
                <w:sz w:val="24"/>
              </w:rPr>
              <w:t>3.培训机构申请开班专业的教师资质，参照该专业国家职业资格标准最低职业等级培训教师上岗资质要求确定。</w:t>
            </w:r>
          </w:p>
          <w:p>
            <w:pPr>
              <w:pStyle w:val="null3"/>
              <w:ind w:firstLine="480"/>
              <w:jc w:val="both"/>
            </w:pPr>
            <w:r>
              <w:rPr>
                <w:rFonts w:ascii="仿宋_GB2312" w:hAnsi="仿宋_GB2312" w:cs="仿宋_GB2312" w:eastAsia="仿宋_GB2312"/>
                <w:sz w:val="24"/>
              </w:rPr>
              <w:t>4.培训机构严格按照批准的培训方案和时间组织培训，不得随意改变；确需调整的，须提前报经批准部门同意。</w:t>
            </w:r>
          </w:p>
          <w:p>
            <w:pPr>
              <w:pStyle w:val="null3"/>
              <w:ind w:firstLine="480"/>
              <w:jc w:val="both"/>
            </w:pPr>
            <w:r>
              <w:rPr>
                <w:rFonts w:ascii="仿宋_GB2312" w:hAnsi="仿宋_GB2312" w:cs="仿宋_GB2312" w:eastAsia="仿宋_GB2312"/>
                <w:sz w:val="24"/>
              </w:rPr>
              <w:t>5.培训机构须主动接受社会监督，于培训开班后 3 日内在办学点进行培训公示。公示内容包括培训机构名称、培训专业、授课教师、开班及结业时间、学员名单、批准部门、监督举报电话等。</w:t>
            </w:r>
          </w:p>
          <w:p>
            <w:pPr>
              <w:pStyle w:val="null3"/>
              <w:ind w:firstLine="480"/>
              <w:jc w:val="both"/>
            </w:pPr>
            <w:r>
              <w:rPr>
                <w:rFonts w:ascii="仿宋_GB2312" w:hAnsi="仿宋_GB2312" w:cs="仿宋_GB2312" w:eastAsia="仿宋_GB2312"/>
                <w:sz w:val="24"/>
              </w:rPr>
              <w:t>6.培训机构加强对培训学员的管理和考核，实行每日签到制，严禁一次多签、过后补签、冒名代签。对上课学时达不到规定课时 60%的学员认定为培训不合格。</w:t>
            </w:r>
          </w:p>
          <w:p>
            <w:pPr>
              <w:pStyle w:val="null3"/>
              <w:ind w:firstLine="480"/>
              <w:jc w:val="both"/>
            </w:pPr>
            <w:r>
              <w:rPr>
                <w:rFonts w:ascii="仿宋_GB2312" w:hAnsi="仿宋_GB2312" w:cs="仿宋_GB2312" w:eastAsia="仿宋_GB2312"/>
                <w:sz w:val="24"/>
              </w:rPr>
              <w:t>7.培训机构开展培训过程中，应当对具备录像条件的室内教学全程录像备查，在其它不具备录像条件的教学场地开展见学、见习等活动的时间不能多于总培训时长的 25%。</w:t>
            </w:r>
          </w:p>
          <w:p>
            <w:pPr>
              <w:pStyle w:val="null3"/>
              <w:ind w:firstLine="480"/>
              <w:jc w:val="both"/>
            </w:pPr>
            <w:r>
              <w:rPr>
                <w:rFonts w:ascii="仿宋_GB2312" w:hAnsi="仿宋_GB2312" w:cs="仿宋_GB2312" w:eastAsia="仿宋_GB2312"/>
                <w:sz w:val="24"/>
              </w:rPr>
              <w:t>8.培训机构在每期培训班结束时，对培训学员进行考试。考试后 10 日内，向区残联培训业务管理部门提交结业资料，包含结业人员名单及考试成绩等规范内容。</w:t>
            </w:r>
          </w:p>
          <w:p>
            <w:pPr>
              <w:pStyle w:val="null3"/>
              <w:ind w:firstLine="480"/>
              <w:jc w:val="both"/>
            </w:pPr>
            <w:r>
              <w:rPr>
                <w:rFonts w:ascii="仿宋_GB2312" w:hAnsi="仿宋_GB2312" w:cs="仿宋_GB2312" w:eastAsia="仿宋_GB2312"/>
                <w:sz w:val="24"/>
              </w:rPr>
              <w:t>9.培训结束后 6 个月内，培训机构汇总上报就业培训合格人员中实现就业、自主创业、灵活就业人员名单和佐证材料。</w:t>
            </w:r>
          </w:p>
          <w:p>
            <w:pPr>
              <w:pStyle w:val="null3"/>
              <w:jc w:val="both"/>
            </w:pPr>
            <w:r>
              <w:rPr>
                <w:rFonts w:ascii="仿宋_GB2312" w:hAnsi="仿宋_GB2312" w:cs="仿宋_GB2312" w:eastAsia="仿宋_GB2312"/>
                <w:sz w:val="24"/>
                <w:b/>
              </w:rPr>
              <w:t>七、培训费用</w:t>
            </w:r>
          </w:p>
          <w:p>
            <w:pPr>
              <w:pStyle w:val="null3"/>
              <w:ind w:firstLine="480"/>
              <w:jc w:val="both"/>
            </w:pPr>
            <w:r>
              <w:rPr>
                <w:rFonts w:ascii="仿宋_GB2312" w:hAnsi="仿宋_GB2312" w:cs="仿宋_GB2312" w:eastAsia="仿宋_GB2312"/>
                <w:sz w:val="24"/>
              </w:rPr>
              <w:t>培训费用包含：食宿费、交通费、设备费、材料费、教材费、课时及劳务费、管理费、宣传费、展览费、装裱费、场地租赁费、考察费、考核鉴定费、耗材费（包括水电费）等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八、付款方式</w:t>
            </w:r>
            <w:r>
              <w:rPr>
                <w:rFonts w:ascii="仿宋_GB2312" w:hAnsi="仿宋_GB2312" w:cs="仿宋_GB2312" w:eastAsia="仿宋_GB2312"/>
                <w:sz w:val="24"/>
                <w:b/>
              </w:rPr>
              <w:t>（付款方式以此条为准）</w:t>
            </w:r>
          </w:p>
          <w:p>
            <w:pPr>
              <w:pStyle w:val="null3"/>
              <w:ind w:firstLine="480"/>
              <w:jc w:val="both"/>
            </w:pPr>
            <w:r>
              <w:rPr>
                <w:rFonts w:ascii="仿宋_GB2312" w:hAnsi="仿宋_GB2312" w:cs="仿宋_GB2312" w:eastAsia="仿宋_GB2312"/>
                <w:sz w:val="24"/>
              </w:rPr>
              <w:t>1、合同签订后，付至合同总金额的40%；乙方服务70人后，再付至合同总金额的40%,；乙方服务完成并达到甲方要求验收完成后，甲方向乙方付至合同剩余的20%。</w:t>
            </w:r>
          </w:p>
          <w:p>
            <w:pPr>
              <w:pStyle w:val="null3"/>
              <w:ind w:firstLine="480"/>
              <w:jc w:val="both"/>
            </w:pPr>
            <w:r>
              <w:rPr>
                <w:rFonts w:ascii="仿宋_GB2312" w:hAnsi="仿宋_GB2312" w:cs="仿宋_GB2312" w:eastAsia="仿宋_GB2312"/>
                <w:sz w:val="24"/>
              </w:rPr>
              <w:t>2、结算方式：银行转账。</w:t>
            </w:r>
          </w:p>
          <w:p>
            <w:pPr>
              <w:pStyle w:val="null3"/>
              <w:jc w:val="both"/>
            </w:pPr>
            <w:r>
              <w:rPr>
                <w:rFonts w:ascii="仿宋_GB2312" w:hAnsi="仿宋_GB2312" w:cs="仿宋_GB2312" w:eastAsia="仿宋_GB2312"/>
                <w:sz w:val="24"/>
              </w:rPr>
              <w:t>3、结算单位：由甲方负责结算，乙方开具合同总价数的全额发票交甲方。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本此培训任务为140人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2025年10月-12月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区残联确定专业第三方评估机构，由第三方评估机构按照《关于印发&lt;陕西省残疾人职业培训服务与管理办法（试行）&gt;的通知》（陕残就服〔2023〕71 号）中《陕西省残疾人职业培训服务与管理办法》文件要求，制定评估方案并执行。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合同签订后，付至合同总金额的</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乙方服务90人后，付至合同总金额的</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乙方服务完成并达到甲方要求验收完成后，甲方向乙方付至合同总金额的</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上传相应证明文件</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签字印鉴</w:t>
            </w:r>
          </w:p>
        </w:tc>
        <w:tc>
          <w:tcPr>
            <w:tcW w:type="dxa" w:w="3322"/>
          </w:tcPr>
          <w:p>
            <w:pPr>
              <w:pStyle w:val="null3"/>
            </w:pPr>
            <w:r>
              <w:rPr>
                <w:rFonts w:ascii="仿宋_GB2312" w:hAnsi="仿宋_GB2312" w:cs="仿宋_GB2312" w:eastAsia="仿宋_GB2312"/>
              </w:rPr>
              <w:t>必须齐全，有效</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 供应商根据本项目服务特点及需求组织开展培训方案。内容包含：①培训目标②培训形式及流程③培训内容及配套服务④课程设置⑤考试考核。 二、评审标准 1.完整性：内容全面，对评审内容中的要求有详细描述； 2.可实施性：切合本项目实际情况，内容清晰合理； 3.针对性：能够紧扣本项目实际情况，内容科学合理。 三、赋分标准（满分15分） 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人员组织机构</w:t>
            </w:r>
          </w:p>
        </w:tc>
        <w:tc>
          <w:tcPr>
            <w:tcW w:type="dxa" w:w="2492"/>
          </w:tcPr>
          <w:p>
            <w:pPr>
              <w:pStyle w:val="null3"/>
            </w:pPr>
            <w:r>
              <w:rPr>
                <w:rFonts w:ascii="仿宋_GB2312" w:hAnsi="仿宋_GB2312" w:cs="仿宋_GB2312" w:eastAsia="仿宋_GB2312"/>
              </w:rPr>
              <w:t>一、评审内容 供应商须根据本项目服务特点及需求提供针对本项目的组织机构安排。内容包含：①职责分工②专职管理团队③培训管理制度。 二、评审标准 1.完整性：内容全面，对评审内容中的要求有详细描述； 2.可实施性：切合本项目实际情况，内容清晰合理； 3.针对性：能够紧扣本项目实际情况，内容科学合理。 三、赋分标准（满分12分） 每项评审内容每完全满足一项评审标准得1分，满分4分，共12分。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师资配备</w:t>
            </w:r>
          </w:p>
        </w:tc>
        <w:tc>
          <w:tcPr>
            <w:tcW w:type="dxa" w:w="2492"/>
          </w:tcPr>
          <w:p>
            <w:pPr>
              <w:pStyle w:val="null3"/>
            </w:pPr>
            <w:r>
              <w:rPr>
                <w:rFonts w:ascii="仿宋_GB2312" w:hAnsi="仿宋_GB2312" w:cs="仿宋_GB2312" w:eastAsia="仿宋_GB2312"/>
              </w:rPr>
              <w:t>供应商须详细介绍拟投入本项目的师资队伍。 1、师资队伍人员数量配备充足，能满足本项目服务需求计6分，不能完全满足本项目服务需求计3分，未提供计0分。 2、师资队伍人员专业配置合理、全面，能满足本项目服务需求计6分，不能完全满足本项目服务需求计3分，未提供计0分。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教学质量控制制度</w:t>
            </w:r>
          </w:p>
        </w:tc>
        <w:tc>
          <w:tcPr>
            <w:tcW w:type="dxa" w:w="2492"/>
          </w:tcPr>
          <w:p>
            <w:pPr>
              <w:pStyle w:val="null3"/>
            </w:pPr>
            <w:r>
              <w:rPr>
                <w:rFonts w:ascii="仿宋_GB2312" w:hAnsi="仿宋_GB2312" w:cs="仿宋_GB2312" w:eastAsia="仿宋_GB2312"/>
              </w:rPr>
              <w:t>一、评审内容供应商须根据本项目服务特点及需求提供针对本项目的教学质量控制制度。内容包含：①教学质量管理责任制度②教学质量监控体系③教师负责制度④教学质量考核体系。 二、评审标准 1.完整性：内容全面，对评审内容中的要求有详细描述； 2.可实施性：切合本项目实际情况，内容清晰合理； 3.针对性：能够紧扣本项目实际情况，内容科学合理。 三、赋分依据（满分12分）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场地、设备要求</w:t>
            </w:r>
          </w:p>
        </w:tc>
        <w:tc>
          <w:tcPr>
            <w:tcW w:type="dxa" w:w="2492"/>
          </w:tcPr>
          <w:p>
            <w:pPr>
              <w:pStyle w:val="null3"/>
            </w:pPr>
            <w:r>
              <w:rPr>
                <w:rFonts w:ascii="仿宋_GB2312" w:hAnsi="仿宋_GB2312" w:cs="仿宋_GB2312" w:eastAsia="仿宋_GB2312"/>
              </w:rPr>
              <w:t>为保证服务质量，供应商须提供自有培训场地及培训设备,还应具备残疾人无障碍设备、通道等相关设施，提供相关证明材料，包括但不限于场地合同、资产登记表、场地图片等，提供资料包含以上要求齐全计9分；提供2项及以上计6分；提供1项计3分；未提供计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供应商须针对服务标准的完整性、合理性进行承诺，保证服务质量。合理、可行计8分；内容一般，不够明确计4分；针对性不强、内容简单计2分；未提供计0分。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对本项目理解程度提出有利于采购人或项目实施的合理化建议。合理化建议全面具体、针对性强、科学可行的得4分；合理化建议较为具体、针对性较好、细节有待完善、基本可行的得6分；合理化建议不全面、内容笼统、针对性差的得2分；未提供或完全脱离项目实际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针对本项目能够提供全面可靠的服务保障措施及培训后服务保障，措施得当，且提供的残疾人培训后续跟踪方案实用可靠。合理、可行计8分；内容一般，不够明确计4分；针对性不强、内容简单计2分；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提供2022年10月至今举办或开展过职业技能培训业绩案例，须提供合同文件或培训相关佐证资料，每提供一个业绩案例得2分，最多得8分。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采用低价优先法计算，即满足磋商文件要求且最后磋商报价最低的磋商报价为磋商基准价，其价格分为满分。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微企业报价给予10%的扣除，用扣除后的价格参加评审。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