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版本号：ZJZC2025072200320251016001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西安市雁塔区青龙南路西段(西延路-经九路)市政工程监理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ZJZC20250722003</w:t>
      </w:r>
      <w:r>
        <w:br/>
      </w:r>
      <w:r>
        <w:br/>
      </w:r>
      <w:r>
        <w:br/>
      </w:r>
    </w:p>
    <w:p>
      <w:pPr>
        <w:pStyle w:val="null3"/>
        <w:jc w:val="center"/>
        <w:outlineLvl w:val="2"/>
      </w:pPr>
      <w:r>
        <w:rPr>
          <w:rFonts w:ascii="仿宋_GB2312" w:hAnsi="仿宋_GB2312" w:cs="仿宋_GB2312" w:eastAsia="仿宋_GB2312"/>
          <w:sz w:val="28"/>
          <w:b/>
        </w:rPr>
        <w:t>西安市雁塔区住房和城乡建设局</w:t>
      </w:r>
    </w:p>
    <w:p>
      <w:pPr>
        <w:pStyle w:val="null3"/>
        <w:jc w:val="center"/>
        <w:outlineLvl w:val="2"/>
      </w:pPr>
      <w:r>
        <w:rPr>
          <w:rFonts w:ascii="仿宋_GB2312" w:hAnsi="仿宋_GB2312" w:cs="仿宋_GB2312" w:eastAsia="仿宋_GB2312"/>
          <w:sz w:val="28"/>
          <w:b/>
        </w:rPr>
        <w:t>中建华阳建设项目管理有限责任公司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中建华阳建设项目管理有限责任公司</w:t>
      </w:r>
      <w:r>
        <w:rPr>
          <w:rFonts w:ascii="仿宋_GB2312" w:hAnsi="仿宋_GB2312" w:cs="仿宋_GB2312" w:eastAsia="仿宋_GB2312"/>
        </w:rPr>
        <w:t>（以下简称“代理机构”）受</w:t>
      </w:r>
      <w:r>
        <w:rPr>
          <w:rFonts w:ascii="仿宋_GB2312" w:hAnsi="仿宋_GB2312" w:cs="仿宋_GB2312" w:eastAsia="仿宋_GB2312"/>
        </w:rPr>
        <w:t>西安市雁塔区住房和城乡建设局</w:t>
      </w:r>
      <w:r>
        <w:rPr>
          <w:rFonts w:ascii="仿宋_GB2312" w:hAnsi="仿宋_GB2312" w:cs="仿宋_GB2312" w:eastAsia="仿宋_GB2312"/>
        </w:rPr>
        <w:t>委托，拟对</w:t>
      </w:r>
      <w:r>
        <w:rPr>
          <w:rFonts w:ascii="仿宋_GB2312" w:hAnsi="仿宋_GB2312" w:cs="仿宋_GB2312" w:eastAsia="仿宋_GB2312"/>
        </w:rPr>
        <w:t>西安市雁塔区青龙南路西段(西延路-经九路)市政工程监理</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ZJZC20250722003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西安市雁塔区青龙南路西段(西延路-经九路)市政工程监理</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西安市雁塔区青龙南路西段(西延路-经九路)市政工程，项目位于西安市雁塔区，为东西向道路，西起西延路，东至经九路；建设内容包含道路工程933.697m, 雨水工程839.09m,污水工程741.85m ,交通工程933.697m,照明工程33套，线缆管沟工程主线全长552m,通信主管群全长341m等。本次采购内容为西安市雁塔区青龙南路西段(西延路-经九路)市政工程监理，监理服务内容包括但不限于项目施工范围内全部建设工程的监理工作；具体包括施工质量、进度、安全和文明施工、信息资料管理、关系协调、合同管理以及配合各类验收、竣工备案、保修维修期的工程维修等所有监理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采购包1（西安市雁塔区青龙南路西段(西延路-经九路)市政工程监理）：属于专门面向中小企业采购。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w:t>
      </w:r>
    </w:p>
    <w:p>
      <w:pPr>
        <w:pStyle w:val="null3"/>
      </w:pPr>
      <w:r>
        <w:rPr>
          <w:rFonts w:ascii="仿宋_GB2312" w:hAnsi="仿宋_GB2312" w:cs="仿宋_GB2312" w:eastAsia="仿宋_GB2312"/>
        </w:rPr>
        <w:t>2、财务状况报告：提供2024年度经审计的财务报（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4、社保缴纳证明：提供递交响应文件截止之日前一年内任意一个月的社会保障资金缴存单据或社保机构开具的社会保险参保缴费情况证明。依法不需要缴纳社会保障资金的供应商应提供相关文件证明。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9、法定代表人授权委托书：法定代表人参加磋商的，须提供本人身份证复印件（附在资格证明文件中）；法定代表人授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p>
      <w:pPr>
        <w:pStyle w:val="null3"/>
      </w:pPr>
      <w:r>
        <w:rPr>
          <w:rFonts w:ascii="仿宋_GB2312" w:hAnsi="仿宋_GB2312" w:cs="仿宋_GB2312" w:eastAsia="仿宋_GB2312"/>
        </w:rPr>
        <w:t>10、资质：供应商具备建设部门颁发的工程监理综合资质或市政公用工程专业监理丙级及以上资质。</w:t>
      </w:r>
    </w:p>
    <w:p>
      <w:pPr>
        <w:pStyle w:val="null3"/>
      </w:pPr>
      <w:r>
        <w:rPr>
          <w:rFonts w:ascii="仿宋_GB2312" w:hAnsi="仿宋_GB2312" w:cs="仿宋_GB2312" w:eastAsia="仿宋_GB2312"/>
        </w:rPr>
        <w:t>11、项目总监：拟派项目总监理工程师具备有效的市政公用工程专业国家注册监理工程师资格，在本单位注册，且无在监项目。</w:t>
      </w:r>
    </w:p>
    <w:p>
      <w:pPr>
        <w:pStyle w:val="null3"/>
      </w:pPr>
      <w:r>
        <w:rPr>
          <w:rFonts w:ascii="仿宋_GB2312" w:hAnsi="仿宋_GB2312" w:cs="仿宋_GB2312" w:eastAsia="仿宋_GB2312"/>
        </w:rPr>
        <w:t>12、本项目不接受联合体磋商，不允许分包：供应商应提供《非联合体不分包磋商声明》，视为独立磋商，不分包。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西安市翠华路146号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西安市雁塔区住房和城乡建设局经办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029-83692920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中建华阳建设项目管理有限责任公司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陕西省西安市新城区陕西省西安市新城区长乐中路242号金花新都汇A座写字楼24层06室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董喜峰、裴慢慢、王超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18729530649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招标代理服务收费管理暂行办法》的通知（计价格[2002]1980号）文件、发改价格[2011]534号文件及国家发改委印发的《关于进一步放开建设项目专业服务价格的通知》[2015]299号文件的收取标准计取，不足6000.00元按6000.00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西安市雁塔区住房和城乡建设局</w:t>
      </w:r>
      <w:r>
        <w:rPr>
          <w:rFonts w:ascii="仿宋_GB2312" w:hAnsi="仿宋_GB2312" w:cs="仿宋_GB2312" w:eastAsia="仿宋_GB2312"/>
        </w:rPr>
        <w:t>和</w:t>
      </w:r>
      <w:r>
        <w:rPr>
          <w:rFonts w:ascii="仿宋_GB2312" w:hAnsi="仿宋_GB2312" w:cs="仿宋_GB2312" w:eastAsia="仿宋_GB2312"/>
        </w:rPr>
        <w:t>中建华阳建设项目管理有限责任公司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中建华阳建设项目管理有限责任公司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中建华阳建设项目管理有限责任公司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符合国家、省、市及行业要求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中建华阳建设项目管理有限责任公司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中建华阳建设项目管理有限责任公司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中建华阳建设项目管理有限责任公司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联系人：董喜峰、裴慢慢、王超</w:t>
      </w:r>
    </w:p>
    <w:p>
      <w:pPr>
        <w:pStyle w:val="null3"/>
      </w:pPr>
      <w:r>
        <w:rPr>
          <w:rFonts w:ascii="仿宋_GB2312" w:hAnsi="仿宋_GB2312" w:cs="仿宋_GB2312" w:eastAsia="仿宋_GB2312"/>
        </w:rPr>
        <w:t>联系电话：18729530649</w:t>
      </w:r>
    </w:p>
    <w:p>
      <w:pPr>
        <w:pStyle w:val="null3"/>
      </w:pPr>
      <w:r>
        <w:rPr>
          <w:rFonts w:ascii="仿宋_GB2312" w:hAnsi="仿宋_GB2312" w:cs="仿宋_GB2312" w:eastAsia="仿宋_GB2312"/>
        </w:rPr>
        <w:t>地址：陕西省西安市新城区长乐中路242号金花新都汇A座写字楼24层06室</w:t>
      </w:r>
    </w:p>
    <w:p>
      <w:pPr>
        <w:pStyle w:val="null3"/>
      </w:pPr>
      <w:r>
        <w:rPr>
          <w:rFonts w:ascii="仿宋_GB2312" w:hAnsi="仿宋_GB2312" w:cs="仿宋_GB2312" w:eastAsia="仿宋_GB2312"/>
        </w:rPr>
        <w:t>邮编：710032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西安市雁塔区青龙南路西段(西延路-经九路)市政工程，项目位于西安市雁塔区，为东西向道路，西起西延路，东至经九路；建设内容包含道路工程933.697m, 雨水工程839.09m,污水工程741.85m ,交通工程933.697m,照明工程33套，线缆管沟工程主线全长552m,通信主管群全长341m等。本次采购内容为西安市雁塔区青龙南路西段(西延路-经九路)市政工程监理，监理服务内容包括但不限于项目施工范围内全部建设工程的监理工作；具体包括施工质量、进度、安全和文明施工、信息资料管理、关系协调、合同管理以及配合各类验收、竣工备案、保修维修期的工程维修等所有监理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510,000.00</w:t>
      </w:r>
    </w:p>
    <w:p>
      <w:pPr>
        <w:pStyle w:val="null3"/>
      </w:pPr>
      <w:r>
        <w:rPr>
          <w:rFonts w:ascii="仿宋_GB2312" w:hAnsi="仿宋_GB2312" w:cs="仿宋_GB2312" w:eastAsia="仿宋_GB2312"/>
        </w:rPr>
        <w:t>采购包最高限价（元）: 510,000.00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西安市雁塔区青龙南路西段(西延路-经九路)市政工程监理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标的名称：西安市雁塔区青龙南路西段(西延路-经九路)市政工程监理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一、项目概况</w:t>
            </w:r>
          </w:p>
          <w:p>
            <w:pPr>
              <w:pStyle w:val="null3"/>
            </w:pPr>
            <w:r>
              <w:rPr>
                <w:rFonts w:ascii="仿宋_GB2312" w:hAnsi="仿宋_GB2312" w:cs="仿宋_GB2312" w:eastAsia="仿宋_GB2312"/>
                <w:sz w:val="24"/>
              </w:rPr>
              <w:t xml:space="preserve">    西安市雁塔区青龙南路西段(西延路-经九路)市政工程，项目位于西安市雁塔区，为东西向道路，西起西延路，东至经九路；建设内容包含道路工程933.697m, 雨水工程839.09m,污水工程741.85m ,交通工程933.697m,照明工程33套，线缆管沟工程主线全长552m,通信主管群全长341m等。本次采购内容为西安市雁塔区青龙南路西段(西延路-经九路)市政工程监理。项目采购预算51万元。</w:t>
            </w:r>
          </w:p>
          <w:p>
            <w:pPr>
              <w:pStyle w:val="null3"/>
            </w:pPr>
            <w:r>
              <w:rPr>
                <w:rFonts w:ascii="仿宋_GB2312" w:hAnsi="仿宋_GB2312" w:cs="仿宋_GB2312" w:eastAsia="仿宋_GB2312"/>
                <w:sz w:val="24"/>
                <w:b/>
              </w:rPr>
              <w:t>二、服务内容</w:t>
            </w:r>
          </w:p>
          <w:p>
            <w:pPr>
              <w:pStyle w:val="null3"/>
              <w:ind w:firstLine="480"/>
              <w:jc w:val="both"/>
            </w:pPr>
            <w:r>
              <w:rPr>
                <w:rFonts w:ascii="仿宋_GB2312" w:hAnsi="仿宋_GB2312" w:cs="仿宋_GB2312" w:eastAsia="仿宋_GB2312"/>
                <w:sz w:val="24"/>
              </w:rPr>
              <w:t>西安市雁塔区青龙南路西段(西延路-经九路)市政工程监理。项目包括但不限于项目施工范围内全部建设工程的监理工作；具体包括施工质量、进度、安全和文明施工、信息资料管理、关系协调、合同管理以及配合各类验收、竣工备案、保修维修期的工程维修等所有监理工作。</w:t>
            </w:r>
          </w:p>
          <w:p>
            <w:pPr>
              <w:pStyle w:val="null3"/>
              <w:jc w:val="both"/>
            </w:pPr>
            <w:r>
              <w:rPr>
                <w:rFonts w:ascii="仿宋_GB2312" w:hAnsi="仿宋_GB2312" w:cs="仿宋_GB2312" w:eastAsia="仿宋_GB2312"/>
                <w:sz w:val="24"/>
                <w:b/>
              </w:rPr>
              <w:t>三、监理依据</w:t>
            </w:r>
          </w:p>
          <w:p>
            <w:pPr>
              <w:pStyle w:val="null3"/>
              <w:ind w:firstLine="480"/>
              <w:jc w:val="both"/>
            </w:pPr>
            <w:r>
              <w:rPr>
                <w:rFonts w:ascii="仿宋_GB2312" w:hAnsi="仿宋_GB2312" w:cs="仿宋_GB2312" w:eastAsia="仿宋_GB2312"/>
                <w:sz w:val="24"/>
              </w:rPr>
              <w:t>1、国家和地方有关工程建设监理的法律、法规及规范；</w:t>
            </w:r>
          </w:p>
          <w:p>
            <w:pPr>
              <w:pStyle w:val="null3"/>
              <w:ind w:firstLine="480"/>
              <w:jc w:val="both"/>
            </w:pPr>
            <w:r>
              <w:rPr>
                <w:rFonts w:ascii="仿宋_GB2312" w:hAnsi="仿宋_GB2312" w:cs="仿宋_GB2312" w:eastAsia="仿宋_GB2312"/>
                <w:sz w:val="24"/>
              </w:rPr>
              <w:t>2、工程技术标准，施工验收规范；</w:t>
            </w:r>
          </w:p>
          <w:p>
            <w:pPr>
              <w:pStyle w:val="null3"/>
              <w:ind w:firstLine="480"/>
              <w:jc w:val="both"/>
            </w:pPr>
            <w:r>
              <w:rPr>
                <w:rFonts w:ascii="仿宋_GB2312" w:hAnsi="仿宋_GB2312" w:cs="仿宋_GB2312" w:eastAsia="仿宋_GB2312"/>
                <w:sz w:val="24"/>
              </w:rPr>
              <w:t>3、经批准的该项目建设的有关文件、可行性研究报告、初步设计文件及设计概算文件及其它有关文件；</w:t>
            </w:r>
          </w:p>
          <w:p>
            <w:pPr>
              <w:pStyle w:val="null3"/>
              <w:ind w:firstLine="480"/>
              <w:jc w:val="both"/>
            </w:pPr>
            <w:r>
              <w:rPr>
                <w:rFonts w:ascii="仿宋_GB2312" w:hAnsi="仿宋_GB2312" w:cs="仿宋_GB2312" w:eastAsia="仿宋_GB2312"/>
                <w:sz w:val="24"/>
              </w:rPr>
              <w:t>4、所监理工程的设计图纸、有关文件、设计变更及会议纪要；</w:t>
            </w:r>
          </w:p>
          <w:p>
            <w:pPr>
              <w:pStyle w:val="null3"/>
              <w:ind w:firstLine="480"/>
              <w:jc w:val="both"/>
            </w:pPr>
            <w:r>
              <w:rPr>
                <w:rFonts w:ascii="仿宋_GB2312" w:hAnsi="仿宋_GB2312" w:cs="仿宋_GB2312" w:eastAsia="仿宋_GB2312"/>
                <w:sz w:val="24"/>
              </w:rPr>
              <w:t>5、经委托人审批同意的本工程监理规划；</w:t>
            </w:r>
          </w:p>
          <w:p>
            <w:pPr>
              <w:pStyle w:val="null3"/>
              <w:ind w:firstLine="480"/>
              <w:jc w:val="both"/>
            </w:pPr>
            <w:r>
              <w:rPr>
                <w:rFonts w:ascii="仿宋_GB2312" w:hAnsi="仿宋_GB2312" w:cs="仿宋_GB2312" w:eastAsia="仿宋_GB2312"/>
                <w:sz w:val="24"/>
              </w:rPr>
              <w:t>6、工程监理合同；</w:t>
            </w:r>
          </w:p>
          <w:p>
            <w:pPr>
              <w:pStyle w:val="null3"/>
              <w:ind w:firstLine="480"/>
              <w:jc w:val="both"/>
            </w:pPr>
            <w:r>
              <w:rPr>
                <w:rFonts w:ascii="仿宋_GB2312" w:hAnsi="仿宋_GB2312" w:cs="仿宋_GB2312" w:eastAsia="仿宋_GB2312"/>
                <w:sz w:val="24"/>
              </w:rPr>
              <w:t>7、委托人依法与承包人等单位签订的合同或协议等；</w:t>
            </w:r>
          </w:p>
          <w:p>
            <w:pPr>
              <w:pStyle w:val="null3"/>
              <w:ind w:firstLine="480"/>
              <w:jc w:val="both"/>
            </w:pPr>
            <w:r>
              <w:rPr>
                <w:rFonts w:ascii="仿宋_GB2312" w:hAnsi="仿宋_GB2312" w:cs="仿宋_GB2312" w:eastAsia="仿宋_GB2312"/>
                <w:sz w:val="24"/>
              </w:rPr>
              <w:t>8、其它相关法律、法规及规定。</w:t>
            </w:r>
          </w:p>
          <w:p>
            <w:pPr>
              <w:pStyle w:val="null3"/>
              <w:jc w:val="both"/>
            </w:pPr>
            <w:r>
              <w:rPr>
                <w:rFonts w:ascii="仿宋_GB2312" w:hAnsi="仿宋_GB2312" w:cs="仿宋_GB2312" w:eastAsia="仿宋_GB2312"/>
                <w:sz w:val="24"/>
                <w:b/>
              </w:rPr>
              <w:t>四、服务要求</w:t>
            </w:r>
          </w:p>
          <w:p>
            <w:pPr>
              <w:pStyle w:val="null3"/>
              <w:ind w:firstLine="480"/>
              <w:jc w:val="both"/>
            </w:pPr>
            <w:r>
              <w:rPr>
                <w:rFonts w:ascii="仿宋_GB2312" w:hAnsi="仿宋_GB2312" w:cs="仿宋_GB2312" w:eastAsia="仿宋_GB2312"/>
                <w:sz w:val="24"/>
              </w:rPr>
              <w:t>1、质量要求：符合国家工程质量验收“合格”标准。</w:t>
            </w:r>
          </w:p>
          <w:p>
            <w:pPr>
              <w:pStyle w:val="null3"/>
              <w:ind w:firstLine="480"/>
              <w:jc w:val="both"/>
            </w:pPr>
            <w:r>
              <w:rPr>
                <w:rFonts w:ascii="仿宋_GB2312" w:hAnsi="仿宋_GB2312" w:cs="仿宋_GB2312" w:eastAsia="仿宋_GB2312"/>
                <w:sz w:val="24"/>
              </w:rPr>
              <w:t>2、服务、产品（如有）执行的标准、规范：执行国家（行业）强制性标准。</w:t>
            </w:r>
          </w:p>
          <w:p>
            <w:pPr>
              <w:pStyle w:val="null3"/>
              <w:jc w:val="both"/>
            </w:pPr>
            <w:r>
              <w:rPr>
                <w:rFonts w:ascii="仿宋_GB2312" w:hAnsi="仿宋_GB2312" w:cs="仿宋_GB2312" w:eastAsia="仿宋_GB2312"/>
                <w:sz w:val="24"/>
                <w:b/>
              </w:rPr>
              <w:t>五、付款方式、依据</w:t>
            </w:r>
          </w:p>
          <w:p>
            <w:pPr>
              <w:pStyle w:val="null3"/>
              <w:ind w:firstLine="480"/>
              <w:jc w:val="both"/>
            </w:pPr>
            <w:r>
              <w:rPr>
                <w:rFonts w:ascii="仿宋_GB2312" w:hAnsi="仿宋_GB2312" w:cs="仿宋_GB2312" w:eastAsia="仿宋_GB2312"/>
                <w:sz w:val="24"/>
              </w:rPr>
              <w:t>1、付款方式：本项目预付款10%，竣工验收合格后累计支付至合同价的97％；完成监理费结算后，累计支付至结算价的100％。</w:t>
            </w:r>
          </w:p>
          <w:p>
            <w:pPr>
              <w:pStyle w:val="null3"/>
              <w:ind w:firstLine="480"/>
              <w:jc w:val="both"/>
            </w:pPr>
            <w:r>
              <w:rPr>
                <w:rFonts w:ascii="仿宋_GB2312" w:hAnsi="仿宋_GB2312" w:cs="仿宋_GB2312" w:eastAsia="仿宋_GB2312"/>
                <w:sz w:val="24"/>
              </w:rPr>
              <w:t>2、付款依据：乙方提供等额发票，甲方出具的验收报告。</w:t>
            </w:r>
          </w:p>
          <w:p>
            <w:pPr>
              <w:pStyle w:val="null3"/>
              <w:jc w:val="both"/>
            </w:pPr>
            <w:r>
              <w:rPr>
                <w:rFonts w:ascii="仿宋_GB2312" w:hAnsi="仿宋_GB2312" w:cs="仿宋_GB2312" w:eastAsia="仿宋_GB2312"/>
                <w:sz w:val="24"/>
                <w:b/>
              </w:rPr>
              <w:t>六、商务要求</w:t>
            </w:r>
          </w:p>
          <w:p>
            <w:pPr>
              <w:pStyle w:val="null3"/>
              <w:ind w:firstLine="480"/>
              <w:jc w:val="both"/>
            </w:pPr>
            <w:r>
              <w:rPr>
                <w:rFonts w:ascii="仿宋_GB2312" w:hAnsi="仿宋_GB2312" w:cs="仿宋_GB2312" w:eastAsia="仿宋_GB2312"/>
                <w:sz w:val="24"/>
              </w:rPr>
              <w:t>（一）价格：</w:t>
            </w:r>
          </w:p>
          <w:p>
            <w:pPr>
              <w:pStyle w:val="null3"/>
              <w:ind w:firstLine="480"/>
              <w:jc w:val="both"/>
            </w:pPr>
            <w:r>
              <w:rPr>
                <w:rFonts w:ascii="仿宋_GB2312" w:hAnsi="仿宋_GB2312" w:cs="仿宋_GB2312" w:eastAsia="仿宋_GB2312"/>
                <w:sz w:val="24"/>
              </w:rPr>
              <w:t>1、合同</w:t>
            </w:r>
            <w:r>
              <w:rPr>
                <w:rFonts w:ascii="仿宋_GB2312" w:hAnsi="仿宋_GB2312" w:cs="仿宋_GB2312" w:eastAsia="仿宋_GB2312"/>
                <w:sz w:val="24"/>
              </w:rPr>
              <w:t>总</w:t>
            </w:r>
            <w:r>
              <w:rPr>
                <w:rFonts w:ascii="仿宋_GB2312" w:hAnsi="仿宋_GB2312" w:cs="仿宋_GB2312" w:eastAsia="仿宋_GB2312"/>
                <w:sz w:val="24"/>
              </w:rPr>
              <w:t>价包括：服务费、售后服务费、利润、税金、保险、相关伴随费用等的一切费用。</w:t>
            </w:r>
          </w:p>
          <w:p>
            <w:pPr>
              <w:pStyle w:val="null3"/>
              <w:ind w:firstLine="480"/>
              <w:jc w:val="both"/>
            </w:pPr>
            <w:r>
              <w:rPr>
                <w:rFonts w:ascii="仿宋_GB2312" w:hAnsi="仿宋_GB2312" w:cs="仿宋_GB2312" w:eastAsia="仿宋_GB2312"/>
                <w:sz w:val="24"/>
              </w:rPr>
              <w:t>2、合同有效期内，合同</w:t>
            </w:r>
            <w:r>
              <w:rPr>
                <w:rFonts w:ascii="仿宋_GB2312" w:hAnsi="仿宋_GB2312" w:cs="仿宋_GB2312" w:eastAsia="仿宋_GB2312"/>
                <w:sz w:val="24"/>
              </w:rPr>
              <w:t>总</w:t>
            </w:r>
            <w:r>
              <w:rPr>
                <w:rFonts w:ascii="仿宋_GB2312" w:hAnsi="仿宋_GB2312" w:cs="仿宋_GB2312" w:eastAsia="仿宋_GB2312"/>
                <w:sz w:val="24"/>
              </w:rPr>
              <w:t>价一次包死，不受国家政策性调价或原材料价格变化及外汇汇率变化的影响，并作为最终结算的唯一依据。</w:t>
            </w:r>
          </w:p>
          <w:p>
            <w:pPr>
              <w:pStyle w:val="null3"/>
              <w:ind w:firstLine="480"/>
              <w:jc w:val="both"/>
            </w:pPr>
            <w:r>
              <w:rPr>
                <w:rFonts w:ascii="仿宋_GB2312" w:hAnsi="仿宋_GB2312" w:cs="仿宋_GB2312" w:eastAsia="仿宋_GB2312"/>
                <w:sz w:val="24"/>
              </w:rPr>
              <w:t>3、服务承诺：供应商应遵照国家规范规定的技术服务内容及要求作出明确承诺。</w:t>
            </w:r>
          </w:p>
          <w:p>
            <w:pPr>
              <w:pStyle w:val="null3"/>
              <w:ind w:firstLine="480"/>
              <w:jc w:val="both"/>
            </w:pPr>
            <w:r>
              <w:rPr>
                <w:rFonts w:ascii="仿宋_GB2312" w:hAnsi="仿宋_GB2312" w:cs="仿宋_GB2312" w:eastAsia="仿宋_GB2312"/>
                <w:sz w:val="24"/>
              </w:rPr>
              <w:t>（二）质量安排排查保密要求：</w:t>
            </w:r>
          </w:p>
          <w:p>
            <w:pPr>
              <w:pStyle w:val="null3"/>
              <w:ind w:firstLine="480"/>
              <w:jc w:val="both"/>
            </w:pPr>
            <w:r>
              <w:rPr>
                <w:rFonts w:ascii="仿宋_GB2312" w:hAnsi="仿宋_GB2312" w:cs="仿宋_GB2312" w:eastAsia="仿宋_GB2312"/>
                <w:sz w:val="24"/>
              </w:rPr>
              <w:t>甲、乙双方应永久恪守因签署或履行本合同而获知的对方秘密信息及其它秘密资料，特别是国家安全秘密。任何一方如将获知的对方秘密信息泄露给第三方，应赔偿因泄密而给对方造成的一切损失并承担相应的法律责任</w:t>
            </w:r>
            <w:r>
              <w:rPr>
                <w:rFonts w:ascii="仿宋_GB2312" w:hAnsi="仿宋_GB2312" w:cs="仿宋_GB2312" w:eastAsia="仿宋_GB2312"/>
                <w:sz w:val="24"/>
              </w:rPr>
              <w:t>(包括刑事责任)。</w:t>
            </w:r>
          </w:p>
          <w:p>
            <w:pPr>
              <w:pStyle w:val="null3"/>
              <w:ind w:firstLine="480"/>
              <w:jc w:val="both"/>
            </w:pPr>
            <w:r>
              <w:rPr>
                <w:rFonts w:ascii="仿宋_GB2312" w:hAnsi="仿宋_GB2312" w:cs="仿宋_GB2312" w:eastAsia="仿宋_GB2312"/>
                <w:sz w:val="24"/>
              </w:rPr>
              <w:t>（三）质量保证：</w:t>
            </w:r>
          </w:p>
          <w:p>
            <w:pPr>
              <w:pStyle w:val="null3"/>
              <w:ind w:firstLine="480"/>
              <w:jc w:val="both"/>
            </w:pPr>
            <w:r>
              <w:rPr>
                <w:rFonts w:ascii="仿宋_GB2312" w:hAnsi="仿宋_GB2312" w:cs="仿宋_GB2312" w:eastAsia="仿宋_GB2312"/>
                <w:sz w:val="24"/>
              </w:rPr>
              <w:t>成交供应商保证服务质量完全符合合同规定的质量标准及国家有关规范和标准。</w:t>
            </w:r>
          </w:p>
          <w:p>
            <w:pPr>
              <w:pStyle w:val="null3"/>
              <w:ind w:firstLine="480"/>
              <w:jc w:val="both"/>
            </w:pPr>
            <w:r>
              <w:rPr>
                <w:rFonts w:ascii="仿宋_GB2312" w:hAnsi="仿宋_GB2312" w:cs="仿宋_GB2312" w:eastAsia="仿宋_GB2312"/>
                <w:sz w:val="24"/>
              </w:rPr>
              <w:t>（四）验收：</w:t>
            </w:r>
          </w:p>
          <w:p>
            <w:pPr>
              <w:pStyle w:val="null3"/>
              <w:ind w:firstLine="480"/>
              <w:jc w:val="both"/>
            </w:pPr>
            <w:r>
              <w:rPr>
                <w:rFonts w:ascii="仿宋_GB2312" w:hAnsi="仿宋_GB2312" w:cs="仿宋_GB2312" w:eastAsia="仿宋_GB2312"/>
                <w:sz w:val="24"/>
              </w:rPr>
              <w:t>1、成交供应商对最终的服务质量负完全责任。</w:t>
            </w:r>
          </w:p>
          <w:p>
            <w:pPr>
              <w:pStyle w:val="null3"/>
              <w:ind w:firstLine="480"/>
              <w:jc w:val="both"/>
            </w:pPr>
            <w:r>
              <w:rPr>
                <w:rFonts w:ascii="仿宋_GB2312" w:hAnsi="仿宋_GB2312" w:cs="仿宋_GB2312" w:eastAsia="仿宋_GB2312"/>
                <w:sz w:val="24"/>
              </w:rPr>
              <w:t>2、验收依据：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1）合同；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2）国家有关的验收标准及规范；</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3）竞争性磋商文件、竞争性磋商响应文件；</w:t>
            </w:r>
          </w:p>
          <w:p>
            <w:pPr>
              <w:pStyle w:val="null3"/>
              <w:ind w:firstLine="480"/>
              <w:jc w:val="both"/>
            </w:pPr>
            <w:r>
              <w:rPr>
                <w:rFonts w:ascii="仿宋_GB2312" w:hAnsi="仿宋_GB2312" w:cs="仿宋_GB2312" w:eastAsia="仿宋_GB2312"/>
                <w:sz w:val="24"/>
              </w:rPr>
              <w:t>（五）合同实施：</w:t>
            </w:r>
          </w:p>
          <w:p>
            <w:pPr>
              <w:pStyle w:val="null3"/>
              <w:ind w:firstLine="480"/>
              <w:jc w:val="both"/>
            </w:pPr>
            <w:r>
              <w:rPr>
                <w:rFonts w:ascii="仿宋_GB2312" w:hAnsi="仿宋_GB2312" w:cs="仿宋_GB2312" w:eastAsia="仿宋_GB2312"/>
                <w:sz w:val="24"/>
              </w:rPr>
              <w:t>1、成交供应商应在合同签订后尽快安排人员与采购单位就服务工作进行安排、部署。</w:t>
            </w:r>
          </w:p>
          <w:p>
            <w:pPr>
              <w:pStyle w:val="null3"/>
              <w:ind w:firstLine="480"/>
              <w:jc w:val="both"/>
            </w:pPr>
            <w:r>
              <w:rPr>
                <w:rFonts w:ascii="仿宋_GB2312" w:hAnsi="仿宋_GB2312" w:cs="仿宋_GB2312" w:eastAsia="仿宋_GB2312"/>
                <w:sz w:val="24"/>
              </w:rPr>
              <w:t>2、若因成交供应商原因未能在服务期内完成合同规定的义务，由此对采购人造成的延误和一切损失，由成交单位人承担和赔偿。</w:t>
            </w:r>
          </w:p>
          <w:p>
            <w:pPr>
              <w:pStyle w:val="null3"/>
              <w:ind w:firstLine="480"/>
              <w:jc w:val="both"/>
            </w:pPr>
            <w:r>
              <w:rPr>
                <w:rFonts w:ascii="仿宋_GB2312" w:hAnsi="仿宋_GB2312" w:cs="仿宋_GB2312" w:eastAsia="仿宋_GB2312"/>
                <w:sz w:val="24"/>
              </w:rPr>
              <w:t>（六）监理服务期：自接到甲方委托之日起至工程保修期满之日止</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注：商务要求为实质性要求，不得负偏离。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供应商须提供针对本项目的详细人员配备情况。</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具有履行本合同所必需的设备。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自接到甲方委托之日起至工程保修期满之日止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符合国家工程质量验收“合格”标准。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竣工验收合格后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完成监理费结算后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详见项目合同文本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各供应商应根据“陕西省财政厅陕财办采函〔2023〕14号文”《陕西省财政厅关于省级预算单位全面推行政府采购项目电子化交易的通知》“陕西省财政厅陕财办采〔2022〕9号文”《政府采购项目电子化交易规则》等文件的要求，做好人员配备、设施设备、系统操作的相应准备，熟悉并正确实施相关操作流程，承担由于操作或其他因素造成的不利后果。（二）为顺利推进政府采购电子化交易平台应用工作，供应商需要在线提交所有通过电子化交易平台实施的政府采购项目的投标文件，同时，中标供应商领取中标通知书时，应线下提交纸质版投标文件，正本壹份、副本贰套至代理机构。 线上电子投标文件与纸质投标文件一致;若正本和副本不符，以正本为准。（三）落实政府采购政策需满足的资格要求：依据《中华人民共和国政府采购法》和《中华人民共和国政府采购法实施条例》的有关规定，落实政府采购“优先购买节能环保产品、扶持小微企业、监狱企业、福利企业”等相关政策。1、《政府采购促进中小企业发展管理办法》（财库〔2020〕46号）、《陕西省财政厅关于进一步加大政府采购支持中小企业力度的通知》（陕财办采〔2022〕5号）、《陕西省财政厅关于落实政府采购支持中小企业政策有关事项的通知》（陕财办采〔2022〕10号）、《财政部关于进一步加大政府采购支持中小企业力度》的通知（财库〔2022〕19号）；2、《财政部司法部关于政府采购支持监狱企业发展有关问题的通知》（财库〔2014〕68号）；3、《国务院办公厅关于建立政府强制采购节能产品制度的通知》（国办发〔2007〕51号）；4、《三部门联合发布关于促进残疾人就业政府采购政策的通知》（财库〔2017〕141号）；5、《财政部发展改革委生态环境部市场监管总局关于调整优化节能产品、环境标志产品政府采购执行机制的通知》（财库〔2019〕9号）；6、关于印发环境标志产品政府采购品目清单的通知（财库〔2019〕18号）；7、《关于印发节能产品政府采购品目清单的通知》（财库〔2019〕19号）；8、《财政部、农业农村部、国家乡村振兴局关于运用政府采购政策支持乡村产业振兴的通知》（财库〔2021〕19号）；9、《陕西省中小企业政府采购信用融资办法》（陕财办采〔2018〕23号）、陕西省财政厅、中国人民银行西安分行关于深入推进政府采购信用融资业务的通知（陕财办采〔2023〕5号）；10、《关于政府采购支持绿色建材促进建筑品质提升试点工作的通知》（财库〔2020〕31号）；11、融资平台：根据《陕西省财政厅关于加快推进我省中小企业政府采购信用融资工作的通知》陕财办采〔2020〕15号文件精神，有融资需求的供应商可根据自身情况，在陕西省政府采购信用融资平台（含各市分平台）自主选择金融机构及其融资产品，凭政府采购中标（成交）通知书或政府采购合同向金融机构提出融资申请；12、其他需要落实的政府采购政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供应商资格要求.docx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法定代表人参加磋商的，须提供本人身份证复印件（附在资格证明文件中）；法定代表人授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供应商具备建设部门颁发的工程监理综合资质或市政公用工程专业监理丙级及以上资质。</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项目总监</w:t>
            </w:r>
          </w:p>
        </w:tc>
        <w:tc>
          <w:tcPr>
            <w:tcW w:type="dxa" w:w="3322"/>
          </w:tcPr>
          <w:p>
            <w:pPr>
              <w:pStyle w:val="null3"/>
            </w:pPr>
            <w:r>
              <w:rPr>
                <w:rFonts w:ascii="仿宋_GB2312" w:hAnsi="仿宋_GB2312" w:cs="仿宋_GB2312" w:eastAsia="仿宋_GB2312"/>
              </w:rPr>
              <w:t>拟派项目总监理工程师具备有效的市政公用工程专业国家注册监理工程师资格，在本单位注册，且无在监项目。</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拟投入本项目的人员配置情况表.docx 中小企业声明函 报价表 供应商认为应提交的相关资格证明材料.docx 响应文件封面 分项报价表.docx 供应商资格要求.docx 拟投入本项目的设备仪器表.docx 残疾人福利性单位声明函 标的清单 供应商近三年类似项目业绩证明材料.docx 响应函 商务、服务内容偏离表、技术响应偏差表.docx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拟投入本项目的人员配置情况表.docx 中小企业声明函 报价表 供应商认为应提交的相关资格证明材料.docx 响应文件封面 分项报价表.docx 供应商资格要求.docx 拟投入本项目的设备仪器表.docx 残疾人福利性单位声明函 标的清单 供应商近三年类似项目业绩证明材料.docx 响应函 商务、服务内容偏离表、技术响应偏差表.docx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（1）响应报价符合唯一性要求：（2）响应报价表填写符合要求；（3）计量单位、报价货币均符合磋商文件要求；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完全理解接受磋商文件商务条款。</w:t>
            </w:r>
          </w:p>
        </w:tc>
        <w:tc>
          <w:tcPr>
            <w:tcW w:type="dxa" w:w="1661"/>
          </w:tcPr>
          <w:p>
            <w:pPr>
              <w:pStyle w:val="null3"/>
            </w:pPr>
            <w:r>
              <w:rPr>
                <w:rFonts w:ascii="仿宋_GB2312" w:hAnsi="仿宋_GB2312" w:cs="仿宋_GB2312" w:eastAsia="仿宋_GB2312"/>
              </w:rPr>
              <w:t>商务、服务内容偏离表、技术响应偏差表.docx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拟投入本项目的人员配置情况表.docx 中小企业声明函 报价表 供应商认为应提交的相关资格证明材料.docx 响应文件封面 分项报价表.docx 供应商资格要求.docx 拟投入本项目的设备仪器表.docx 残疾人福利性单位声明函 标的清单 供应商近三年类似项目业绩证明材料.docx 响应函 商务、服务内容偏离表、技术响应偏差表.docx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监理工作目标</w:t>
            </w:r>
          </w:p>
        </w:tc>
        <w:tc>
          <w:tcPr>
            <w:tcW w:type="dxa" w:w="2492"/>
          </w:tcPr>
          <w:p>
            <w:pPr>
              <w:pStyle w:val="null3"/>
            </w:pPr>
            <w:r>
              <w:rPr>
                <w:rFonts w:ascii="仿宋_GB2312" w:hAnsi="仿宋_GB2312" w:cs="仿宋_GB2312" w:eastAsia="仿宋_GB2312"/>
              </w:rPr>
              <w:t>评审内容：①工作目标;②进度目标；③投资控制目标；④安全控制目标；⑤信息管理目标;⑥合同管理目标;⑦协调工作目标。 评审依据：每一项内容描述详细，内容全面，内容符合项目实际得3分，①～⑦项合计得21分。 内容①～⑦项任意一项缺项扣3分，扣完为止;内容①～⑦项里有一项内容缺陷（缺陷是指:内容不详细具体、条理不清晰、描述过于简单、与项目特点不匹配、凭空编造、出现常识性错误、不可能实现的夸大情形、存在不适用项目实际情况的情形等）扣0.5-2.5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拟投入本项目的人员配置情况表.docx</w:t>
            </w:r>
          </w:p>
          <w:p>
            <w:pPr>
              <w:pStyle w:val="null3"/>
            </w:pPr>
            <w:r>
              <w:rPr>
                <w:rFonts w:ascii="仿宋_GB2312" w:hAnsi="仿宋_GB2312" w:cs="仿宋_GB2312" w:eastAsia="仿宋_GB2312"/>
              </w:rPr>
              <w:t>拟投入本项目的设备仪器表.docx</w:t>
            </w:r>
          </w:p>
        </w:tc>
      </w:tr>
      <w:tr>
        <w:tc>
          <w:tcPr>
            <w:tcW w:type="dxa" w:w="831"/>
            <w:vMerge/>
          </w:tcPr>
          <w:p/>
        </w:tc>
        <w:tc>
          <w:tcPr>
            <w:tcW w:type="dxa" w:w="1661"/>
          </w:tcPr>
          <w:p>
            <w:pPr>
              <w:pStyle w:val="null3"/>
            </w:pPr>
            <w:r>
              <w:rPr>
                <w:rFonts w:ascii="仿宋_GB2312" w:hAnsi="仿宋_GB2312" w:cs="仿宋_GB2312" w:eastAsia="仿宋_GB2312"/>
              </w:rPr>
              <w:t>监理工作质量控制</w:t>
            </w:r>
          </w:p>
        </w:tc>
        <w:tc>
          <w:tcPr>
            <w:tcW w:type="dxa" w:w="2492"/>
          </w:tcPr>
          <w:p>
            <w:pPr>
              <w:pStyle w:val="null3"/>
            </w:pPr>
            <w:r>
              <w:rPr>
                <w:rFonts w:ascii="仿宋_GB2312" w:hAnsi="仿宋_GB2312" w:cs="仿宋_GB2312" w:eastAsia="仿宋_GB2312"/>
              </w:rPr>
              <w:t>评审内容：①质量管理控制的基本流程；②工程质是控制的原则；③项目各阶段的质量控制措施。 评审依据:每一项内容描述详细，内容全面，内容符合项目实际得3分，①～③项合计得9分。 内容①～③项任意一项缺项扣3分，扣完为止；内容①～③项里有项内容缺陷（缺陷足指:内容描述过于简单、条理不清晰、与项目内容不匹配、凭空编造、出现常识性错误、不可能实现的夸大情形存在不适用项日实际情况的情形等）扣0.5-2.5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拟投入本项目的人员配置情况表.docx</w:t>
            </w:r>
          </w:p>
          <w:p>
            <w:pPr>
              <w:pStyle w:val="null3"/>
            </w:pPr>
            <w:r>
              <w:rPr>
                <w:rFonts w:ascii="仿宋_GB2312" w:hAnsi="仿宋_GB2312" w:cs="仿宋_GB2312" w:eastAsia="仿宋_GB2312"/>
              </w:rPr>
              <w:t>拟投入本项目的设备仪器表.docx</w:t>
            </w:r>
          </w:p>
        </w:tc>
      </w:tr>
      <w:tr>
        <w:tc>
          <w:tcPr>
            <w:tcW w:type="dxa" w:w="831"/>
            <w:vMerge/>
          </w:tcPr>
          <w:p/>
        </w:tc>
        <w:tc>
          <w:tcPr>
            <w:tcW w:type="dxa" w:w="1661"/>
          </w:tcPr>
          <w:p>
            <w:pPr>
              <w:pStyle w:val="null3"/>
            </w:pPr>
            <w:r>
              <w:rPr>
                <w:rFonts w:ascii="仿宋_GB2312" w:hAnsi="仿宋_GB2312" w:cs="仿宋_GB2312" w:eastAsia="仿宋_GB2312"/>
              </w:rPr>
              <w:t>监理工作进度计划安排及保障措施</w:t>
            </w:r>
          </w:p>
        </w:tc>
        <w:tc>
          <w:tcPr>
            <w:tcW w:type="dxa" w:w="2492"/>
          </w:tcPr>
          <w:p>
            <w:pPr>
              <w:pStyle w:val="null3"/>
            </w:pPr>
            <w:r>
              <w:rPr>
                <w:rFonts w:ascii="仿宋_GB2312" w:hAnsi="仿宋_GB2312" w:cs="仿宋_GB2312" w:eastAsia="仿宋_GB2312"/>
              </w:rPr>
              <w:t>评审内容：①监理工作进度计划安排；②监理工作进度计划保障措施。 评审依据：每一项内容描述详细，内容全面,内容符合项目实际得3分,①～②项合计得6分。 内容①～②项任意一项缺项扣3分，扣完为止；内容①～②项里有一项内容缺陷（缺陷是指：内容描述过于简单、条理不清晰、与项目内容不匹配、凭空编造、出现常识性错误、不可能实现的夸大情形、存在不适用项目实际情况的情形等）扣0.5-2.5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拟投入本项目的人员配置情况表.docx</w:t>
            </w:r>
          </w:p>
          <w:p>
            <w:pPr>
              <w:pStyle w:val="null3"/>
            </w:pPr>
            <w:r>
              <w:rPr>
                <w:rFonts w:ascii="仿宋_GB2312" w:hAnsi="仿宋_GB2312" w:cs="仿宋_GB2312" w:eastAsia="仿宋_GB2312"/>
              </w:rPr>
              <w:t>拟投入本项目的设备仪器表.docx</w:t>
            </w:r>
          </w:p>
        </w:tc>
      </w:tr>
      <w:tr>
        <w:tc>
          <w:tcPr>
            <w:tcW w:type="dxa" w:w="831"/>
            <w:vMerge/>
          </w:tcPr>
          <w:p/>
        </w:tc>
        <w:tc>
          <w:tcPr>
            <w:tcW w:type="dxa" w:w="1661"/>
          </w:tcPr>
          <w:p>
            <w:pPr>
              <w:pStyle w:val="null3"/>
            </w:pPr>
            <w:r>
              <w:rPr>
                <w:rFonts w:ascii="仿宋_GB2312" w:hAnsi="仿宋_GB2312" w:cs="仿宋_GB2312" w:eastAsia="仿宋_GB2312"/>
              </w:rPr>
              <w:t>监理工作制度</w:t>
            </w:r>
          </w:p>
        </w:tc>
        <w:tc>
          <w:tcPr>
            <w:tcW w:type="dxa" w:w="2492"/>
          </w:tcPr>
          <w:p>
            <w:pPr>
              <w:pStyle w:val="null3"/>
            </w:pPr>
            <w:r>
              <w:rPr>
                <w:rFonts w:ascii="仿宋_GB2312" w:hAnsi="仿宋_GB2312" w:cs="仿宋_GB2312" w:eastAsia="仿宋_GB2312"/>
              </w:rPr>
              <w:t>评审内容：①现场监理工作制度;②内部工作制度;③相关服务工作制度。 评审依据：每一项内容描述详细，内容全面，内容符合项目实际得3分，①～③项合计得9分。 内容①～③项任意一项缺项扣3分，扣完为止；内容①～③项里有一项内容缺陷（缺陷是指：内容描述过于简单、条理不清晰、与项目内容不匹配、凭空编造、出现常识性错误、不可能实现的夸大情形、存在不适用项目实际情况的情形等）扣0.5-2.5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拟投入本项目的人员配置情况表.docx</w:t>
            </w:r>
          </w:p>
          <w:p>
            <w:pPr>
              <w:pStyle w:val="null3"/>
            </w:pPr>
            <w:r>
              <w:rPr>
                <w:rFonts w:ascii="仿宋_GB2312" w:hAnsi="仿宋_GB2312" w:cs="仿宋_GB2312" w:eastAsia="仿宋_GB2312"/>
              </w:rPr>
              <w:t>拟投入本项目的设备仪器表.docx</w:t>
            </w:r>
          </w:p>
        </w:tc>
      </w:tr>
      <w:tr>
        <w:tc>
          <w:tcPr>
            <w:tcW w:type="dxa" w:w="831"/>
            <w:vMerge/>
          </w:tcPr>
          <w:p/>
        </w:tc>
        <w:tc>
          <w:tcPr>
            <w:tcW w:type="dxa" w:w="1661"/>
          </w:tcPr>
          <w:p>
            <w:pPr>
              <w:pStyle w:val="null3"/>
            </w:pPr>
            <w:r>
              <w:rPr>
                <w:rFonts w:ascii="仿宋_GB2312" w:hAnsi="仿宋_GB2312" w:cs="仿宋_GB2312" w:eastAsia="仿宋_GB2312"/>
              </w:rPr>
              <w:t>监理资料与档案管理措施</w:t>
            </w:r>
          </w:p>
        </w:tc>
        <w:tc>
          <w:tcPr>
            <w:tcW w:type="dxa" w:w="2492"/>
          </w:tcPr>
          <w:p>
            <w:pPr>
              <w:pStyle w:val="null3"/>
            </w:pPr>
            <w:r>
              <w:rPr>
                <w:rFonts w:ascii="仿宋_GB2312" w:hAnsi="仿宋_GB2312" w:cs="仿宋_GB2312" w:eastAsia="仿宋_GB2312"/>
              </w:rPr>
              <w:t>评审内容：①监理资料与档案存放管理制度；②监理资料与档案保管人员安排；③监理资料与档案移交措施。 评审依据：每一项内容描述详细，内容全面，内容符合项目实际得3分，①～③项合计得9分。 内容①～③项任意一项缺项扣3分，扣完为止;内容①～③项里有一项内容缺陷（缺陷是指:内容描述过于简单、条理不清晰、与项目内容不匹配、凭空编造、出现常识性错误、不可能实现的夸大情形、存在不适用项日实际情况的情形等）扣0.5-2.5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拟投入本项目的人员配置情况表.docx</w:t>
            </w:r>
          </w:p>
          <w:p>
            <w:pPr>
              <w:pStyle w:val="null3"/>
            </w:pPr>
            <w:r>
              <w:rPr>
                <w:rFonts w:ascii="仿宋_GB2312" w:hAnsi="仿宋_GB2312" w:cs="仿宋_GB2312" w:eastAsia="仿宋_GB2312"/>
              </w:rPr>
              <w:t>拟投入本项目的设备仪器表.docx</w:t>
            </w:r>
          </w:p>
        </w:tc>
      </w:tr>
      <w:tr>
        <w:tc>
          <w:tcPr>
            <w:tcW w:type="dxa" w:w="831"/>
            <w:vMerge/>
          </w:tcPr>
          <w:p/>
        </w:tc>
        <w:tc>
          <w:tcPr>
            <w:tcW w:type="dxa" w:w="1661"/>
          </w:tcPr>
          <w:p>
            <w:pPr>
              <w:pStyle w:val="null3"/>
            </w:pPr>
            <w:r>
              <w:rPr>
                <w:rFonts w:ascii="仿宋_GB2312" w:hAnsi="仿宋_GB2312" w:cs="仿宋_GB2312" w:eastAsia="仿宋_GB2312"/>
              </w:rPr>
              <w:t>监理工作重点、难点分析及对策</w:t>
            </w:r>
          </w:p>
        </w:tc>
        <w:tc>
          <w:tcPr>
            <w:tcW w:type="dxa" w:w="2492"/>
          </w:tcPr>
          <w:p>
            <w:pPr>
              <w:pStyle w:val="null3"/>
            </w:pPr>
            <w:r>
              <w:rPr>
                <w:rFonts w:ascii="仿宋_GB2312" w:hAnsi="仿宋_GB2312" w:cs="仿宋_GB2312" w:eastAsia="仿宋_GB2312"/>
              </w:rPr>
              <w:t>评审内容：①针对本项目的重点、难点分析；②针对本项目的重点、难点的对策。 评审依据：每一项内容描述详细，内容全面，内容符合项目实际得3分，①～②项合计得6分。 内容①～②项任意一项缺项扣3分，扣完为止;内容①～②项里有一项内容缺陷（缺陷是指:内容描述过于简单、条理不清晰、与项目内容不匹配、凭空编造、出现常识性错误、不可能实现的夸大情形、仔在不适用项目实际情况的情形等）扣0.5-2.5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拟投入本项目的人员配置情况表.docx</w:t>
            </w:r>
          </w:p>
          <w:p>
            <w:pPr>
              <w:pStyle w:val="null3"/>
            </w:pPr>
            <w:r>
              <w:rPr>
                <w:rFonts w:ascii="仿宋_GB2312" w:hAnsi="仿宋_GB2312" w:cs="仿宋_GB2312" w:eastAsia="仿宋_GB2312"/>
              </w:rPr>
              <w:t>拟投入本项目的设备仪器表.docx</w:t>
            </w:r>
          </w:p>
        </w:tc>
      </w:tr>
      <w:tr>
        <w:tc>
          <w:tcPr>
            <w:tcW w:type="dxa" w:w="831"/>
            <w:vMerge/>
          </w:tcPr>
          <w:p/>
        </w:tc>
        <w:tc>
          <w:tcPr>
            <w:tcW w:type="dxa" w:w="1661"/>
          </w:tcPr>
          <w:p>
            <w:pPr>
              <w:pStyle w:val="null3"/>
            </w:pPr>
            <w:r>
              <w:rPr>
                <w:rFonts w:ascii="仿宋_GB2312" w:hAnsi="仿宋_GB2312" w:cs="仿宋_GB2312" w:eastAsia="仿宋_GB2312"/>
              </w:rPr>
              <w:t>监理组织协调工作方法措施</w:t>
            </w:r>
          </w:p>
        </w:tc>
        <w:tc>
          <w:tcPr>
            <w:tcW w:type="dxa" w:w="2492"/>
          </w:tcPr>
          <w:p>
            <w:pPr>
              <w:pStyle w:val="null3"/>
            </w:pPr>
            <w:r>
              <w:rPr>
                <w:rFonts w:ascii="仿宋_GB2312" w:hAnsi="仿宋_GB2312" w:cs="仿宋_GB2312" w:eastAsia="仿宋_GB2312"/>
              </w:rPr>
              <w:t>评审内容：①项目监理内部协调方法措施；②项目监理对外组织协调方法措施。 评审依据：每一项内容描述详细，内容全面，内容符合项目实际得3分，①～②项合计得6分。 内容①～②项任意一项缺项扣3分，扣完为止;内容①～②项里有一项内容缺陷（缺陷是指：内容描述过于简单、条理不清晰、与项目内容不匹配、凭空编造、出现常识性错误、不可能实现的夸大情形、存在不适用项目实际情况的情形等）扣0.5-2.5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拟投入本项目的人员配置情况表.docx</w:t>
            </w:r>
          </w:p>
          <w:p>
            <w:pPr>
              <w:pStyle w:val="null3"/>
            </w:pPr>
            <w:r>
              <w:rPr>
                <w:rFonts w:ascii="仿宋_GB2312" w:hAnsi="仿宋_GB2312" w:cs="仿宋_GB2312" w:eastAsia="仿宋_GB2312"/>
              </w:rPr>
              <w:t>拟投入本项目的设备仪器表.docx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评审内容：①根据拟投入的服务人员数量；②根据拟投入的人员年龄、专业经验、资格/职称等情况。 评审依据：每一项内容描述详细，内容全面，内容符合项目实际得5分，①～②项合计得10分。 内容①～②项任意一项缺项扣5分，扣完为止；内容①～②项里有一项内容缺陷（缺陷是指：内容描述过于简单、条理不洁晰、与项目内容不匹配、凭空编造、出现常识性错误、不可能实现的夸大情形、存在不适用项目实际情况的情形等）扣0.5-4.5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拟投入本项目的人员配置情况表.docx</w:t>
            </w:r>
          </w:p>
          <w:p>
            <w:pPr>
              <w:pStyle w:val="null3"/>
            </w:pPr>
            <w:r>
              <w:rPr>
                <w:rFonts w:ascii="仿宋_GB2312" w:hAnsi="仿宋_GB2312" w:cs="仿宋_GB2312" w:eastAsia="仿宋_GB2312"/>
              </w:rPr>
              <w:t>拟投入本项目的设备仪器表.docx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评审内容：①服务质量承诺；②服务周期承诺。 评审依据：每一项内容描述详细，内容全面，内容符合项目实际得3分，①～②项合计得6分。 内容①～②项任意一项缺项扣3分，扣完为止；内容①～②项里有一项内容缺陷（缺陷是指：内容描述过于简单、条理不清晰、与项目内容不匹配、凭空编造、出现常识性错误、不可能实现的夸大情形、存在不适用项目实际情况的情形等)）扣0.5-2.5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拟投入本项目的人员配置情况表.docx</w:t>
            </w:r>
          </w:p>
          <w:p>
            <w:pPr>
              <w:pStyle w:val="null3"/>
            </w:pPr>
            <w:r>
              <w:rPr>
                <w:rFonts w:ascii="仿宋_GB2312" w:hAnsi="仿宋_GB2312" w:cs="仿宋_GB2312" w:eastAsia="仿宋_GB2312"/>
              </w:rPr>
              <w:t>拟投入本项目的设备仪器表.docx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提供2022年1月1日至今类似项目监理业绩（以加盖供应商公章的合同协议书复印件或扫描件作为评审依据），每提供一个业绩得2分，满分8分。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供应商近三年类似项目业绩证明材料.docx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满足磋商文件要求且最终磋商报价最低的供应商的价格为评标基准价，其价格分为满分。其他供应商的价格分统一按照下列公式计算： 磋商报价得分=（评标基准价/最终磋商报价）×价格权值×100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详见附件：商务、服务内容偏离表、技术响应偏差表.docx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详见附件：拟投入本项目的人员配置情况表.docx</w:t>
      </w:r>
    </w:p>
    <w:p>
      <w:pPr>
        <w:pStyle w:val="null3"/>
        <w:ind w:firstLine="960"/>
      </w:pPr>
      <w:r>
        <w:rPr>
          <w:rFonts w:ascii="仿宋_GB2312" w:hAnsi="仿宋_GB2312" w:cs="仿宋_GB2312" w:eastAsia="仿宋_GB2312"/>
        </w:rPr>
        <w:t>详见附件：拟投入本项目的设备仪器表.docx</w:t>
      </w:r>
    </w:p>
    <w:p>
      <w:pPr>
        <w:pStyle w:val="null3"/>
        <w:ind w:firstLine="960"/>
      </w:pPr>
      <w:r>
        <w:rPr>
          <w:rFonts w:ascii="仿宋_GB2312" w:hAnsi="仿宋_GB2312" w:cs="仿宋_GB2312" w:eastAsia="仿宋_GB2312"/>
        </w:rPr>
        <w:t>详见附件：供应商近三年类似项目业绩证明材料.docx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详见附件：供应商认为应提交的相关资格证明材料.docx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