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版本号：SXJN-YTQ-DZCSQ-2025100120251029002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基层医疗机构高质量建设工作会（205)</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SXJN-YTQ-DZCSQ-20251001</w:t>
      </w:r>
      <w:r>
        <w:br/>
      </w:r>
      <w:r>
        <w:br/>
      </w:r>
      <w:r>
        <w:br/>
      </w:r>
    </w:p>
    <w:p>
      <w:pPr>
        <w:pStyle w:val="null3"/>
        <w:jc w:val="center"/>
        <w:outlineLvl w:val="2"/>
      </w:pPr>
      <w:r>
        <w:rPr>
          <w:rFonts w:ascii="仿宋_GB2312" w:hAnsi="仿宋_GB2312" w:cs="仿宋_GB2312" w:eastAsia="仿宋_GB2312"/>
          <w:sz w:val="28"/>
          <w:b/>
        </w:rPr>
        <w:t>西安市雁塔区电子城社区卫生服务中心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西安市雁塔区电子城社区卫生服务中心</w:t>
      </w:r>
      <w:r>
        <w:rPr>
          <w:rFonts w:ascii="仿宋_GB2312" w:hAnsi="仿宋_GB2312" w:cs="仿宋_GB2312" w:eastAsia="仿宋_GB2312"/>
        </w:rPr>
        <w:t>委托，拟对</w:t>
      </w:r>
      <w:r>
        <w:rPr>
          <w:rFonts w:ascii="仿宋_GB2312" w:hAnsi="仿宋_GB2312" w:cs="仿宋_GB2312" w:eastAsia="仿宋_GB2312"/>
        </w:rPr>
        <w:t>基层医疗机构高质量建设工作会（205)</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SXJN-YTQ-DZCSQ-20251001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基层医疗机构高质量建设工作会（205)</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标识标牌规范制作、优化诊疗环境、改造国医大师工作站及中医药文化宣传等。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采购包1（基层医疗机构高质量建设工作会（205)）：属于专门面向中小企业采购。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2、税收缴纳证明：供应商提供在本项目投标文件递交截止时间前十二个月内任意一个月的税收缴纳凭证，依法免税的单位应提供相关证明材料。供应商需在项目电子化交易系统中按要求上传相应证明文件。</w:t>
      </w:r>
    </w:p>
    <w:p>
      <w:pPr>
        <w:pStyle w:val="null3"/>
      </w:pPr>
      <w:r>
        <w:rPr>
          <w:rFonts w:ascii="仿宋_GB2312" w:hAnsi="仿宋_GB2312" w:cs="仿宋_GB2312" w:eastAsia="仿宋_GB2312"/>
        </w:rPr>
        <w:t>3、社会保障资金缴纳证明：提供投标文件递交截止时间前十二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p>
      <w:pPr>
        <w:pStyle w:val="null3"/>
      </w:pPr>
      <w:r>
        <w:rPr>
          <w:rFonts w:ascii="仿宋_GB2312" w:hAnsi="仿宋_GB2312" w:cs="仿宋_GB2312" w:eastAsia="仿宋_GB2312"/>
        </w:rPr>
        <w:t>4、财务状况：提供2023年度或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6、书面声明：参加政府采购活动前 3 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记录：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p>
      <w:pPr>
        <w:pStyle w:val="null3"/>
      </w:pPr>
      <w:r>
        <w:rPr>
          <w:rFonts w:ascii="仿宋_GB2312" w:hAnsi="仿宋_GB2312" w:cs="仿宋_GB2312" w:eastAsia="仿宋_GB2312"/>
        </w:rPr>
        <w:t>9、资质证书：供应商具备建设行政主管部门核发的建筑装修装饰工程专业承包二级及以上资质，具有有效的安全生产许可证。</w:t>
      </w:r>
    </w:p>
    <w:p>
      <w:pPr>
        <w:pStyle w:val="null3"/>
      </w:pPr>
      <w:r>
        <w:rPr>
          <w:rFonts w:ascii="仿宋_GB2312" w:hAnsi="仿宋_GB2312" w:cs="仿宋_GB2312" w:eastAsia="仿宋_GB2312"/>
        </w:rPr>
        <w:t>10、项目负责人（项目经理）：证书等级：二级及以上注册建造师资格，专业：建筑工程。补充说明：具有有效的安全生产考核合格证，且无在建工程项目。</w:t>
      </w:r>
    </w:p>
    <w:p>
      <w:pPr>
        <w:pStyle w:val="null3"/>
      </w:pPr>
      <w:r>
        <w:rPr>
          <w:rFonts w:ascii="仿宋_GB2312" w:hAnsi="仿宋_GB2312" w:cs="仿宋_GB2312" w:eastAsia="仿宋_GB2312"/>
        </w:rPr>
        <w:t>11、非联合体声明：本项目不接受联合体磋商。供应商提供非联合体声明函。</w:t>
      </w:r>
    </w:p>
    <w:p>
      <w:pPr>
        <w:pStyle w:val="null3"/>
      </w:pPr>
      <w:r>
        <w:rPr>
          <w:rFonts w:ascii="仿宋_GB2312" w:hAnsi="仿宋_GB2312" w:cs="仿宋_GB2312" w:eastAsia="仿宋_GB2312"/>
        </w:rPr>
        <w:t>12、本项目为专门面向中小企业项目。：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西安市雁塔区电子城社区卫生服务中心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雁塔区子午大道2388号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西安市雁塔区电子城社区卫生服务中心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15877386595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采购包1：536,105.67元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按预算金额计取）。供应商将招标代理服务费计入谈判报价但不单独列明，中标/成交单位在领取成交通知书前，须向采购代理机构一次性支付招标代理服务费；代理服务费以转账、电汇或现金等形式交纳。账户名称:陕西杰诺招标有限公司 账户号码: 61050190004200002317 开户银行: 中国建设银行股份有限公司西安中央领郡支行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西安市雁塔区电子城社区卫生服务中心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西安市雁塔区电子城社区卫生服务中心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西安市雁塔区电子城社区卫生服务中心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地址：西安市经济技术开发区凤城九路中登文景时代B座18层1810室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536,105.67</w:t>
      </w:r>
    </w:p>
    <w:p>
      <w:pPr>
        <w:pStyle w:val="null3"/>
      </w:pPr>
      <w:r>
        <w:rPr>
          <w:rFonts w:ascii="仿宋_GB2312" w:hAnsi="仿宋_GB2312" w:cs="仿宋_GB2312" w:eastAsia="仿宋_GB2312"/>
        </w:rPr>
        <w:t>采购包最高限价（元）: 536,105.67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536105.67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536,105.67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标的名称：536105.67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一.工程内容：标识标牌规范制作、优化诊疗环境、改造国医大师工作站及中医药文化宣传等。</w:t>
            </w:r>
          </w:p>
          <w:p>
            <w:pPr>
              <w:pStyle w:val="null3"/>
            </w:pPr>
            <w:r>
              <w:rPr>
                <w:rFonts w:ascii="仿宋_GB2312" w:hAnsi="仿宋_GB2312" w:cs="仿宋_GB2312" w:eastAsia="仿宋_GB2312"/>
              </w:rPr>
              <w:t>二.质量标准：满足国家现行施工验收规范“合格”标准。</w:t>
            </w:r>
          </w:p>
          <w:p>
            <w:pPr>
              <w:pStyle w:val="null3"/>
            </w:pPr>
            <w:r>
              <w:rPr>
                <w:rFonts w:ascii="仿宋_GB2312" w:hAnsi="仿宋_GB2312" w:cs="仿宋_GB2312" w:eastAsia="仿宋_GB2312"/>
              </w:rPr>
              <w:t>三.计划工期：自进场之日起 20 个日历日内竣工。</w:t>
            </w:r>
          </w:p>
          <w:p>
            <w:pPr>
              <w:pStyle w:val="null3"/>
            </w:pPr>
            <w:r>
              <w:rPr>
                <w:rFonts w:ascii="仿宋_GB2312" w:hAnsi="仿宋_GB2312" w:cs="仿宋_GB2312" w:eastAsia="仿宋_GB2312"/>
              </w:rPr>
              <w:t>四.缺陷责任期:1 年。</w:t>
            </w:r>
          </w:p>
          <w:p>
            <w:pPr>
              <w:pStyle w:val="null3"/>
            </w:pPr>
            <w:r>
              <w:rPr>
                <w:rFonts w:ascii="仿宋_GB2312" w:hAnsi="仿宋_GB2312" w:cs="仿宋_GB2312" w:eastAsia="仿宋_GB2312"/>
              </w:rPr>
              <w:t>五.质量保修期:1 年。</w:t>
            </w:r>
          </w:p>
          <w:p>
            <w:pPr>
              <w:pStyle w:val="null3"/>
            </w:pPr>
            <w:r>
              <w:rPr>
                <w:rFonts w:ascii="仿宋_GB2312" w:hAnsi="仿宋_GB2312" w:cs="仿宋_GB2312" w:eastAsia="仿宋_GB2312"/>
              </w:rPr>
              <w:t>六.工程量清单编制依据</w:t>
            </w:r>
          </w:p>
          <w:p>
            <w:pPr>
              <w:pStyle w:val="null3"/>
            </w:pPr>
            <w:r>
              <w:rPr>
                <w:rFonts w:ascii="仿宋_GB2312" w:hAnsi="仿宋_GB2312" w:cs="仿宋_GB2312" w:eastAsia="仿宋_GB2312"/>
              </w:rPr>
              <w:t>1.《陕西省建设工程费用规则(2025)》</w:t>
            </w:r>
          </w:p>
          <w:p>
            <w:pPr>
              <w:pStyle w:val="null3"/>
            </w:pPr>
            <w:r>
              <w:rPr>
                <w:rFonts w:ascii="仿宋_GB2312" w:hAnsi="仿宋_GB2312" w:cs="仿宋_GB2312" w:eastAsia="仿宋_GB2312"/>
              </w:rPr>
              <w:t>2.《陕西省房屋建筑与装饰工程基价表(2025)》</w:t>
            </w:r>
          </w:p>
          <w:p>
            <w:pPr>
              <w:pStyle w:val="null3"/>
            </w:pPr>
            <w:r>
              <w:rPr>
                <w:rFonts w:ascii="仿宋_GB2312" w:hAnsi="仿宋_GB2312" w:cs="仿宋_GB2312" w:eastAsia="仿宋_GB2312"/>
              </w:rPr>
              <w:t>3.《陕西省通用安装工程基价表(2025)》</w:t>
            </w:r>
          </w:p>
          <w:p>
            <w:pPr>
              <w:pStyle w:val="null3"/>
            </w:pPr>
            <w:r>
              <w:rPr>
                <w:rFonts w:ascii="仿宋_GB2312" w:hAnsi="仿宋_GB2312" w:cs="仿宋_GB2312" w:eastAsia="仿宋_GB2312"/>
              </w:rPr>
              <w:t>4.《陕西省市政工程基价表(2025)》</w:t>
            </w:r>
          </w:p>
          <w:p>
            <w:pPr>
              <w:pStyle w:val="null3"/>
            </w:pPr>
            <w:r>
              <w:rPr>
                <w:rFonts w:ascii="仿宋_GB2312" w:hAnsi="仿宋_GB2312" w:cs="仿宋_GB2312" w:eastAsia="仿宋_GB2312"/>
              </w:rPr>
              <w:t>5.《陕西省园林绿化工程基价表(2025)》</w:t>
            </w:r>
          </w:p>
          <w:p>
            <w:pPr>
              <w:pStyle w:val="null3"/>
            </w:pPr>
            <w:r>
              <w:rPr>
                <w:rFonts w:ascii="仿宋_GB2312" w:hAnsi="仿宋_GB2312" w:cs="仿宋_GB2312" w:eastAsia="仿宋_GB2312"/>
              </w:rPr>
              <w:t>6.《陕西省房屋建筑与装饰工程消耗量定额(2025)》</w:t>
            </w:r>
          </w:p>
          <w:p>
            <w:pPr>
              <w:pStyle w:val="null3"/>
            </w:pPr>
            <w:r>
              <w:rPr>
                <w:rFonts w:ascii="仿宋_GB2312" w:hAnsi="仿宋_GB2312" w:cs="仿宋_GB2312" w:eastAsia="仿宋_GB2312"/>
              </w:rPr>
              <w:t>7.《陕西省通用安装工程消耗量定额(2025)》</w:t>
            </w:r>
          </w:p>
          <w:p>
            <w:pPr>
              <w:pStyle w:val="null3"/>
            </w:pPr>
            <w:r>
              <w:rPr>
                <w:rFonts w:ascii="仿宋_GB2312" w:hAnsi="仿宋_GB2312" w:cs="仿宋_GB2312" w:eastAsia="仿宋_GB2312"/>
              </w:rPr>
              <w:t>8.《陕西省市政工程消耗量定额(2025)》</w:t>
            </w:r>
          </w:p>
          <w:p>
            <w:pPr>
              <w:pStyle w:val="null3"/>
            </w:pPr>
            <w:r>
              <w:rPr>
                <w:rFonts w:ascii="仿宋_GB2312" w:hAnsi="仿宋_GB2312" w:cs="仿宋_GB2312" w:eastAsia="仿宋_GB2312"/>
              </w:rPr>
              <w:t>9.《陕西省园林绿化工程消耗量定额(2025)》</w:t>
            </w:r>
          </w:p>
          <w:p>
            <w:pPr>
              <w:pStyle w:val="null3"/>
            </w:pPr>
            <w:r>
              <w:rPr>
                <w:rFonts w:ascii="仿宋_GB2312" w:hAnsi="仿宋_GB2312" w:cs="仿宋_GB2312" w:eastAsia="仿宋_GB2312"/>
              </w:rPr>
              <w:t>10.《陕西省建设工程施工机械台班费用定额(2025)》</w:t>
            </w:r>
          </w:p>
          <w:p>
            <w:pPr>
              <w:pStyle w:val="null3"/>
            </w:pPr>
            <w:r>
              <w:rPr>
                <w:rFonts w:ascii="仿宋_GB2312" w:hAnsi="仿宋_GB2312" w:cs="仿宋_GB2312" w:eastAsia="仿宋_GB2312"/>
              </w:rPr>
              <w:t>11.《陕西省建设工程施工仪器仪表台班费用定额(2025)》及相关规范性文件。</w:t>
            </w:r>
          </w:p>
          <w:p>
            <w:pPr>
              <w:pStyle w:val="null3"/>
            </w:pPr>
            <w:r>
              <w:rPr>
                <w:rFonts w:ascii="仿宋_GB2312" w:hAnsi="仿宋_GB2312" w:cs="仿宋_GB2312" w:eastAsia="仿宋_GB2312"/>
              </w:rPr>
              <w:t>12.正常施工组织设计及施工方法；</w:t>
            </w:r>
          </w:p>
          <w:p>
            <w:pPr>
              <w:pStyle w:val="null3"/>
            </w:pPr>
            <w:r>
              <w:rPr>
                <w:rFonts w:ascii="仿宋_GB2312" w:hAnsi="仿宋_GB2312" w:cs="仿宋_GB2312" w:eastAsia="仿宋_GB2312"/>
              </w:rPr>
              <w:t>13.与建设工程项目有关的标准、规范、图集、技术资料；</w:t>
            </w:r>
          </w:p>
          <w:p>
            <w:pPr>
              <w:pStyle w:val="null3"/>
            </w:pPr>
            <w:r>
              <w:rPr>
                <w:rFonts w:ascii="仿宋_GB2312" w:hAnsi="仿宋_GB2312" w:cs="仿宋_GB2312" w:eastAsia="仿宋_GB2312"/>
              </w:rPr>
              <w:t>14.工程量清单电子版使用广联达云计价软件GCCP7.0（版本：7.5000.23.1）；</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（一）、支付方式1、 付款条件说明： 合同签订后，采购人10个工作日内支付成交供应商合同价的 30%作为工程预付款;竣工验收合格后支付成交供应商合同总价50%;竣工验收收5个工作日内供应商报送甲方结算资料，经审定后 15 个工作日内支付剩余合同价款。 （二）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（四）、成交供应商在领取成交通知书前，需向采购代理机构提交加盖公章的纸质版响应文件三套，成交供应商应保持响应文件纸质版内容与系统上传内容完全一致，否则将承担一切法律责任。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供应商提供在本项目投标文件递交截止时间前十二个月内任意一个月的税收缴纳凭证，依法免税的单位应提供相关证明材料。供应商需在项目电子化交易系统中按要求上传相应证明文件。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十二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证书等级：二级及以上注册建造师资格，专业：建筑工程。补充说明：具有有效的安全生产考核合格证，且无在建工程项目。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本项目不接受联合体磋商。供应商提供非联合体声明函。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与营业执照、资质证书、安全生产许可证均一致。</w:t>
            </w:r>
          </w:p>
        </w:tc>
        <w:tc>
          <w:tcPr>
            <w:tcW w:type="dxa" w:w="1661"/>
          </w:tcPr>
          <w:p>
            <w:pPr>
              <w:pStyle w:val="null3"/>
            </w:pPr>
            <w:r>
              <w:rPr>
                <w:rFonts w:ascii="仿宋_GB2312" w:hAnsi="仿宋_GB2312" w:cs="仿宋_GB2312" w:eastAsia="仿宋_GB2312"/>
              </w:rPr>
              <w:t>已标价工程量清单 中小企业声明函 供应商应提交的相关资格证明材料 技术服务合同条款及其他商务要求应答表 响应文件封面 项目管理机构组成表 残疾人福利性单位声明函 报价函 标的清单 施工组织设计方案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只能有一个有效报价且未超过本项目最高限价。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供应商需在项目电子化交易系统中按要求填写《报价函》、《标的清单》并进行电子签章。</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施工组织设计方案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针对本项目的人员配备。 二、评审标准： 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一、评审内容： 针对本项目的服务承诺。 二、评审标准： 服务承诺明确、合理、内容详实，针对性和可操作性强，得6分； 服务承诺较为明确、合理但不够详细，针对性和可操作性较强，得3分； 服务承诺粗略，针对性和可操作性不足，得1分；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供应商2022年1月至今类似项目业绩；每提供1份得2分，最高得4分。 业绩证明（以合同或中标/成交通知书签订日期为准）。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