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99F33">
      <w:pPr>
        <w:shd w:val="clear"/>
        <w:jc w:val="both"/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附件：</w:t>
      </w:r>
    </w:p>
    <w:p w14:paraId="46C38E93">
      <w:pPr>
        <w:shd w:val="clear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zh-CN"/>
        </w:rPr>
        <w:t>合同条款偏离表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E72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60BA8DB2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F1A313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20CD9210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243BFA95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6FEB9DC7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3ECFF54E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偏离</w:t>
            </w:r>
          </w:p>
          <w:p w14:paraId="7A5F3961">
            <w:pPr>
              <w:shd w:val="clear"/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074EF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326F372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3B0F3FD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5E71C5D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7C5A802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BE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0FA0F5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6040AB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D66CAD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9DC853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50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4895BC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4A0DF1E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458A23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685F2BB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72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5565DCE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2AA5E19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25775A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DD53FC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E6E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526565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6533F0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221CAE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2F297BD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3C591D6">
      <w:pPr>
        <w:shd w:val="clear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1321574F">
      <w:pPr>
        <w:shd w:val="clear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1、本表只填写响应文件中与磋商文件有偏离（包括正偏离和负偏离）的内容，响应文件中合同条款响应与磋商文件要求完全一致的，不用在此表中列出，但必须提交空白表（需签字盖章）。</w:t>
      </w:r>
    </w:p>
    <w:p w14:paraId="2E0C0921">
      <w:pPr>
        <w:shd w:val="clear"/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2、供应商必须据实填写，不得虚假响应，否则将取消其磋商或成交资格，并按有关规定进处罚。</w:t>
      </w:r>
    </w:p>
    <w:p w14:paraId="076A3261">
      <w:pPr>
        <w:shd w:val="clear"/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4EB9C425">
      <w:pPr>
        <w:shd w:val="clear"/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51655415">
      <w:pPr>
        <w:shd w:val="clear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0D8B8357">
      <w:pPr>
        <w:shd w:val="clear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07828B36">
      <w:pPr>
        <w:shd w:val="clear"/>
        <w:ind w:firstLine="2520" w:firstLineChars="900"/>
        <w:jc w:val="both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</w:t>
      </w:r>
    </w:p>
    <w:p w14:paraId="1A5B9E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zNmU5MzViZjU1NzE4NGIyZWQxYWU1NzhlNzhlMGIifQ=="/>
  </w:docVars>
  <w:rsids>
    <w:rsidRoot w:val="00000000"/>
    <w:rsid w:val="24B4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2024-11-18T09:05:40Z</dcterms:created>
  <dc:creator>Administrator</dc:creator>
  <cp:lastModifiedBy>小蜻蜓</cp:lastModifiedBy>
  <dcterms:modified xsi:type="dcterms:W3CDTF">2024-11-18T09:05:57Z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79EFD427CD7F42BF8C55B5827DE6CCE6_12</vt:lpwstr>
  </property>
</Properties>
</file>