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版本号：SXHT-(DY)2025100120251009001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档案托管和影像化管理项目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SXHT-(DY)20251001</w:t>
      </w:r>
      <w:r>
        <w:br/>
      </w:r>
      <w:r>
        <w:br/>
      </w:r>
      <w:r>
        <w:br/>
      </w:r>
    </w:p>
    <w:p>
      <w:pPr>
        <w:pStyle w:val="null3"/>
        <w:jc w:val="center"/>
        <w:outlineLvl w:val="5"/>
      </w:pPr>
      <w:r>
        <w:rPr>
          <w:rFonts w:ascii="仿宋_GB2312" w:hAnsi="仿宋_GB2312" w:cs="仿宋_GB2312" w:eastAsia="仿宋_GB2312"/>
          <w:sz w:val="15"/>
          <w:b/>
        </w:rPr>
        <w:t>西安市雁塔区医疗保障经办服务中心</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西安市雁塔区医疗保障经办服务中心</w:t>
      </w:r>
      <w:r>
        <w:rPr>
          <w:rFonts w:ascii="仿宋_GB2312" w:hAnsi="仿宋_GB2312" w:cs="仿宋_GB2312" w:eastAsia="仿宋_GB2312"/>
        </w:rPr>
        <w:t>委托，拟对</w:t>
      </w:r>
      <w:r>
        <w:rPr>
          <w:rFonts w:ascii="仿宋_GB2312" w:hAnsi="仿宋_GB2312" w:cs="仿宋_GB2312" w:eastAsia="仿宋_GB2312"/>
        </w:rPr>
        <w:t>档案托管和影像化管理项目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SXHT-(DY)20251001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档案托管和影像化管理项目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陕西海堂项目管理咨询有限公司（以下简称“代理机构”）受西安市雁塔区医疗保障经办服务中心委托，拟对雁塔区医疗保险档案托管采购项目采用单一来源方式进行采购，现邀请贵公司参加该项目的协商。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2、授权委托书：法定代表人授权书及被授权人身份证原件（法定代表人直接磋商只须提交其身份证原件）</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社会保障资金缴纳证明：提供2025年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信用中国：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供应商须提供查询截图加盖公章</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西安市雁塔区医疗保障经办服务中心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西安市雁塔区医疗保障经办服务中心经办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18829354286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 4、请将招标代理服务费汇至下列指定账户： 户名：陕西海堂项目管理咨询有限公司 开户银行：中国银行股份有限公司西安雁塔路支行账号：103675480567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西安市雁塔区医疗保障经办服务中心</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西安市雁塔区医疗保障经办服务中心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医疗保障经办服务中心档案管理服务项目由档案窗口收集、分类整理、扫描数字化、装箱等。按业务类型独立分区保管，由于窗口收集资料具备实时性、即时性原因，并需要延续原有的业务分类原则、整理方式、数据格式、业务编号及档号编制等专业能力。归集后的档案装箱后，结合档案库房需编制入库箱号、架号位置存放区域等并与原有的同类业务箱号具备一定连续性才能查阅调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档案托管和影像化管理项目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标的名称：档案托管和影像化管理项目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西安市雁塔区医疗保障经办服务中心档案管理服务项目由档案窗口</w:t>
            </w:r>
            <w:r>
              <w:rPr>
                <w:rFonts w:ascii="仿宋_GB2312" w:hAnsi="仿宋_GB2312" w:cs="仿宋_GB2312" w:eastAsia="仿宋_GB2312"/>
                <w:sz w:val="24"/>
              </w:rPr>
              <w:t>收集</w:t>
            </w:r>
            <w:r>
              <w:rPr>
                <w:rFonts w:ascii="仿宋_GB2312" w:hAnsi="仿宋_GB2312" w:cs="仿宋_GB2312" w:eastAsia="仿宋_GB2312"/>
                <w:sz w:val="24"/>
              </w:rPr>
              <w:t>、分类整理、扫描数字化、装箱等。按业务类型独立分区保管，由于窗口收集资料具备实时性、即时性原因，并需要延续原有的业务分类原则、整理方式、数据格式、业务编号及档号编制等专业能力。归集后的档案装箱后，结合档案库房需编制入库箱号、架号位置存放区域等并与原有的同类业务箱号具备一定连续性才能查阅调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自合同签订后1年，具体以甲方安排工作时间为准，满足甲方要求。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西安市雁塔区医疗保障经办服务中心指定地点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合同签订后，达到付款条件起30日内，支付合同总金额的90.00%。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验收通过后，达到付款条件起30日内，支付合同总金额的10.00%。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1、由甲方组织或委托相关部门进行验收。 2、验收依据： 2-1、合同文本、合同附件、单一来源采购文件和投标文件。 2-2、国内相应的行业标准、规范。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线下提交响应文件地点：于谈判截止时间前。 线下提交响应文件地点：西安市建西街123号三楼第一会议室。 若电子响应文件与纸质响应文件不一致的，以纸质响应文件为准；若正本和副本不符，以正本为准。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法定代表人授权书及被授权人身份证原件（法定代表人直接磋商只须提交其身份证原件）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供应商须提供查询截图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法定代表人证明书与法定代表人授权书.docx 谈判方案.docx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