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13E86">
      <w:pPr>
        <w:pStyle w:val="2"/>
        <w:numPr>
          <w:ilvl w:val="0"/>
          <w:numId w:val="0"/>
        </w:numPr>
        <w:spacing w:line="360" w:lineRule="auto"/>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合同条款</w:t>
      </w:r>
      <w:r>
        <w:rPr>
          <w:rFonts w:hint="eastAsia" w:ascii="仿宋" w:hAnsi="仿宋" w:eastAsia="仿宋" w:cs="仿宋"/>
          <w:color w:val="auto"/>
          <w:sz w:val="36"/>
          <w:szCs w:val="36"/>
          <w:highlight w:val="none"/>
          <w:lang w:val="en-US" w:eastAsia="zh-CN"/>
        </w:rPr>
        <w:t>及格式</w:t>
      </w:r>
    </w:p>
    <w:p w14:paraId="09BA9FFF">
      <w:pPr>
        <w:spacing w:line="360" w:lineRule="auto"/>
        <w:jc w:val="center"/>
        <w:rPr>
          <w:rFonts w:hint="eastAsia" w:ascii="仿宋" w:hAnsi="仿宋" w:eastAsia="仿宋" w:cs="仿宋"/>
          <w:b/>
          <w:bCs/>
          <w:color w:val="auto"/>
          <w:sz w:val="32"/>
          <w:szCs w:val="32"/>
          <w:highlight w:val="none"/>
        </w:rPr>
      </w:pPr>
      <w:bookmarkStart w:id="0" w:name="_Toc5421"/>
      <w:r>
        <w:rPr>
          <w:rFonts w:hint="eastAsia" w:ascii="仿宋" w:hAnsi="仿宋" w:eastAsia="仿宋" w:cs="仿宋"/>
          <w:b/>
          <w:bCs/>
          <w:color w:val="auto"/>
          <w:sz w:val="32"/>
          <w:szCs w:val="32"/>
          <w:highlight w:val="none"/>
        </w:rPr>
        <w:t>合同条款及格式前附表</w:t>
      </w:r>
      <w:bookmarkEnd w:id="0"/>
    </w:p>
    <w:p w14:paraId="55DD0974">
      <w:pPr>
        <w:spacing w:line="360" w:lineRule="auto"/>
        <w:ind w:firstLine="480" w:firstLineChars="200"/>
        <w:rPr>
          <w:rFonts w:hint="eastAsia" w:ascii="仿宋" w:hAnsi="仿宋" w:eastAsia="仿宋" w:cs="仿宋"/>
          <w:bCs/>
          <w:color w:val="auto"/>
          <w:sz w:val="36"/>
          <w:szCs w:val="36"/>
          <w:highlight w:val="none"/>
        </w:rPr>
      </w:pPr>
      <w:r>
        <w:rPr>
          <w:rFonts w:hint="eastAsia" w:ascii="仿宋" w:hAnsi="仿宋" w:eastAsia="仿宋" w:cs="仿宋"/>
          <w:color w:val="auto"/>
          <w:szCs w:val="24"/>
          <w:highlight w:val="none"/>
        </w:rPr>
        <w:t>本表是对合同条款的具体补充和修改，如有矛盾，应以本资料表为准。</w:t>
      </w:r>
    </w:p>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02"/>
        <w:gridCol w:w="7560"/>
      </w:tblGrid>
      <w:tr w14:paraId="67AF13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479" w:type="pct"/>
            <w:noWrap w:val="0"/>
            <w:vAlign w:val="center"/>
          </w:tcPr>
          <w:p w14:paraId="0045FC51">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4520" w:type="pct"/>
            <w:noWrap w:val="0"/>
            <w:vAlign w:val="center"/>
          </w:tcPr>
          <w:p w14:paraId="4DEA173F">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r>
      <w:tr w14:paraId="36CEF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479" w:type="pct"/>
            <w:noWrap w:val="0"/>
            <w:vAlign w:val="center"/>
          </w:tcPr>
          <w:p w14:paraId="714FB12D">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520" w:type="pct"/>
            <w:noWrap w:val="0"/>
            <w:vAlign w:val="center"/>
          </w:tcPr>
          <w:p w14:paraId="63E979E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both"/>
              <w:rPr>
                <w:rFonts w:hint="eastAsia" w:ascii="仿宋" w:hAnsi="仿宋" w:eastAsia="仿宋" w:cs="仿宋"/>
                <w:color w:val="auto"/>
                <w:sz w:val="24"/>
                <w:szCs w:val="24"/>
                <w:lang w:eastAsia="zh-CN"/>
              </w:rPr>
            </w:pPr>
            <w:r>
              <w:rPr>
                <w:rFonts w:hint="eastAsia" w:ascii="仿宋" w:hAnsi="仿宋" w:eastAsia="仿宋" w:cs="仿宋"/>
                <w:b/>
                <w:bCs/>
                <w:i w:val="0"/>
                <w:iCs w:val="0"/>
                <w:caps w:val="0"/>
                <w:color w:val="auto"/>
                <w:spacing w:val="0"/>
                <w:sz w:val="24"/>
                <w:szCs w:val="24"/>
                <w:shd w:val="clear" w:color="auto" w:fill="FFFFFF"/>
              </w:rPr>
              <w:t>名称：</w:t>
            </w:r>
            <w:r>
              <w:rPr>
                <w:rFonts w:hint="eastAsia" w:ascii="仿宋" w:hAnsi="仿宋" w:eastAsia="仿宋" w:cs="仿宋"/>
                <w:i w:val="0"/>
                <w:iCs w:val="0"/>
                <w:caps w:val="0"/>
                <w:color w:val="auto"/>
                <w:spacing w:val="0"/>
                <w:sz w:val="24"/>
                <w:szCs w:val="24"/>
                <w:shd w:val="clear" w:color="auto" w:fill="FFFFFF"/>
                <w:lang w:eastAsia="zh-CN"/>
              </w:rPr>
              <w:t>西安南苑中学</w:t>
            </w:r>
          </w:p>
          <w:p w14:paraId="13C747E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both"/>
              <w:rPr>
                <w:rFonts w:hint="eastAsia" w:ascii="仿宋" w:hAnsi="仿宋" w:eastAsia="仿宋" w:cs="仿宋"/>
                <w:bCs/>
                <w:color w:val="auto"/>
                <w:sz w:val="24"/>
                <w:szCs w:val="24"/>
                <w:highlight w:val="none"/>
              </w:rPr>
            </w:pPr>
            <w:r>
              <w:rPr>
                <w:rFonts w:hint="eastAsia" w:ascii="仿宋" w:hAnsi="仿宋" w:eastAsia="仿宋" w:cs="仿宋"/>
                <w:b/>
                <w:bCs/>
                <w:i w:val="0"/>
                <w:iCs w:val="0"/>
                <w:caps w:val="0"/>
                <w:color w:val="auto"/>
                <w:spacing w:val="0"/>
                <w:sz w:val="24"/>
                <w:szCs w:val="24"/>
                <w:shd w:val="clear" w:color="auto" w:fill="FFFFFF"/>
              </w:rPr>
              <w:t>地址：</w:t>
            </w:r>
            <w:r>
              <w:rPr>
                <w:rFonts w:hint="eastAsia" w:ascii="仿宋" w:hAnsi="仿宋" w:eastAsia="仿宋" w:cs="仿宋"/>
                <w:i w:val="0"/>
                <w:iCs w:val="0"/>
                <w:caps w:val="0"/>
                <w:color w:val="auto"/>
                <w:spacing w:val="0"/>
                <w:sz w:val="24"/>
                <w:szCs w:val="24"/>
                <w:shd w:val="clear" w:color="auto" w:fill="FFFFFF"/>
                <w:lang w:eastAsia="zh-CN"/>
              </w:rPr>
              <w:t>陕西省西安市雁塔区丈八东路83号204社区</w:t>
            </w:r>
          </w:p>
          <w:p w14:paraId="008EBF33">
            <w:pPr>
              <w:spacing w:line="520" w:lineRule="exact"/>
              <w:rPr>
                <w:rFonts w:hint="eastAsia" w:ascii="仿宋" w:hAnsi="仿宋" w:eastAsia="仿宋" w:cs="仿宋"/>
                <w:b w:val="0"/>
                <w:bCs/>
                <w:color w:val="auto"/>
                <w:sz w:val="24"/>
                <w:szCs w:val="24"/>
                <w:highlight w:val="none"/>
              </w:rPr>
            </w:pPr>
            <w:r>
              <w:rPr>
                <w:rFonts w:hint="eastAsia" w:ascii="仿宋" w:hAnsi="仿宋" w:eastAsia="仿宋" w:cs="仿宋"/>
                <w:b/>
                <w:color w:val="auto"/>
                <w:sz w:val="24"/>
                <w:szCs w:val="24"/>
                <w:highlight w:val="none"/>
              </w:rPr>
              <w:t>项目名称：</w:t>
            </w:r>
            <w:r>
              <w:rPr>
                <w:rFonts w:hint="eastAsia" w:ascii="仿宋" w:hAnsi="仿宋" w:eastAsia="仿宋" w:cs="仿宋"/>
                <w:b w:val="0"/>
                <w:bCs/>
                <w:color w:val="auto"/>
                <w:sz w:val="24"/>
                <w:szCs w:val="24"/>
                <w:highlight w:val="none"/>
                <w:lang w:val="zh-CN" w:eastAsia="zh-CN"/>
              </w:rPr>
              <w:t>微机室设备采购项目</w:t>
            </w:r>
            <w:r>
              <w:rPr>
                <w:rFonts w:hint="eastAsia" w:ascii="仿宋" w:hAnsi="仿宋" w:eastAsia="仿宋" w:cs="仿宋"/>
                <w:b w:val="0"/>
                <w:bCs/>
                <w:color w:val="auto"/>
                <w:sz w:val="24"/>
                <w:szCs w:val="24"/>
                <w:highlight w:val="none"/>
                <w:lang w:val="zh-CN"/>
              </w:rPr>
              <w:t xml:space="preserve"> </w:t>
            </w:r>
          </w:p>
          <w:p w14:paraId="36927A84">
            <w:pPr>
              <w:spacing w:line="520" w:lineRule="exac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资金来源：</w:t>
            </w:r>
            <w:r>
              <w:rPr>
                <w:rFonts w:hint="eastAsia" w:ascii="仿宋" w:hAnsi="仿宋" w:eastAsia="仿宋" w:cs="仿宋"/>
                <w:color w:val="auto"/>
                <w:sz w:val="24"/>
                <w:szCs w:val="24"/>
                <w:highlight w:val="none"/>
                <w:lang w:val="en-US" w:eastAsia="zh-CN"/>
              </w:rPr>
              <w:t>财政</w:t>
            </w:r>
            <w:r>
              <w:rPr>
                <w:rFonts w:hint="eastAsia" w:ascii="仿宋" w:hAnsi="仿宋" w:eastAsia="仿宋" w:cs="仿宋"/>
                <w:color w:val="auto"/>
                <w:sz w:val="24"/>
                <w:szCs w:val="24"/>
                <w:highlight w:val="none"/>
              </w:rPr>
              <w:t>资金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已落实</w:t>
            </w:r>
          </w:p>
        </w:tc>
      </w:tr>
      <w:tr w14:paraId="58A76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33" w:hRule="exact"/>
        </w:trPr>
        <w:tc>
          <w:tcPr>
            <w:tcW w:w="479" w:type="pct"/>
            <w:noWrap w:val="0"/>
            <w:vAlign w:val="center"/>
          </w:tcPr>
          <w:p w14:paraId="45487477">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4520" w:type="pct"/>
            <w:noWrap w:val="0"/>
            <w:vAlign w:val="center"/>
          </w:tcPr>
          <w:p w14:paraId="67815735">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名词解释：</w:t>
            </w:r>
            <w:r>
              <w:rPr>
                <w:rFonts w:hint="eastAsia" w:ascii="仿宋" w:hAnsi="仿宋" w:eastAsia="仿宋" w:cs="仿宋"/>
                <w:color w:val="auto"/>
                <w:sz w:val="24"/>
                <w:szCs w:val="24"/>
                <w:highlight w:val="none"/>
              </w:rPr>
              <w:t>本章节中出现的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”，在招标投标阶段措辞为“</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”；在项目招标结束，中标结果确定后，措辞由“</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”转为“中标人”；在采购人与中标人签订合同，履约、实施阶段，措辞由“中标人”转为“</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tc>
      </w:tr>
      <w:tr w14:paraId="347AB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15" w:hRule="exact"/>
        </w:trPr>
        <w:tc>
          <w:tcPr>
            <w:tcW w:w="479" w:type="pct"/>
            <w:noWrap w:val="0"/>
            <w:vAlign w:val="center"/>
          </w:tcPr>
          <w:p w14:paraId="28E67011">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4520" w:type="pct"/>
            <w:noWrap w:val="0"/>
            <w:vAlign w:val="center"/>
          </w:tcPr>
          <w:p w14:paraId="00DA493A">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项目实施地点：采购人指定地点</w:t>
            </w:r>
          </w:p>
        </w:tc>
      </w:tr>
      <w:tr w14:paraId="680C53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83" w:hRule="exact"/>
        </w:trPr>
        <w:tc>
          <w:tcPr>
            <w:tcW w:w="479" w:type="pct"/>
            <w:noWrap w:val="0"/>
            <w:vAlign w:val="center"/>
          </w:tcPr>
          <w:p w14:paraId="5CBBA700">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4520" w:type="pct"/>
            <w:noWrap w:val="0"/>
            <w:vAlign w:val="center"/>
          </w:tcPr>
          <w:p w14:paraId="22E580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both"/>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交货期：</w:t>
            </w:r>
            <w:r>
              <w:rPr>
                <w:rFonts w:hint="eastAsia" w:ascii="仿宋" w:hAnsi="仿宋" w:eastAsia="仿宋" w:cs="仿宋"/>
                <w:i w:val="0"/>
                <w:iCs w:val="0"/>
                <w:caps w:val="0"/>
                <w:color w:val="auto"/>
                <w:spacing w:val="0"/>
                <w:sz w:val="24"/>
                <w:szCs w:val="24"/>
                <w:shd w:val="clear" w:color="auto" w:fill="FFFFFF"/>
                <w:lang w:eastAsia="zh-CN"/>
              </w:rPr>
              <w:t>合同签订起</w:t>
            </w:r>
            <w:r>
              <w:rPr>
                <w:rFonts w:hint="eastAsia" w:ascii="仿宋" w:hAnsi="仿宋" w:eastAsia="仿宋" w:cs="仿宋"/>
                <w:i w:val="0"/>
                <w:iCs w:val="0"/>
                <w:caps w:val="0"/>
                <w:color w:val="auto"/>
                <w:spacing w:val="0"/>
                <w:sz w:val="24"/>
                <w:szCs w:val="24"/>
                <w:shd w:val="clear" w:color="auto" w:fill="FFFFFF"/>
                <w:lang w:val="en-US" w:eastAsia="zh-CN"/>
              </w:rPr>
              <w:t>30</w:t>
            </w:r>
            <w:r>
              <w:rPr>
                <w:rFonts w:hint="eastAsia" w:ascii="仿宋" w:hAnsi="仿宋" w:eastAsia="仿宋" w:cs="仿宋"/>
                <w:i w:val="0"/>
                <w:iCs w:val="0"/>
                <w:caps w:val="0"/>
                <w:color w:val="auto"/>
                <w:spacing w:val="0"/>
                <w:sz w:val="24"/>
                <w:szCs w:val="24"/>
                <w:shd w:val="clear" w:color="auto" w:fill="FFFFFF"/>
                <w:lang w:eastAsia="zh-CN"/>
              </w:rPr>
              <w:t>日历天</w:t>
            </w:r>
          </w:p>
        </w:tc>
      </w:tr>
      <w:tr w14:paraId="771281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0" w:hRule="exact"/>
        </w:trPr>
        <w:tc>
          <w:tcPr>
            <w:tcW w:w="479" w:type="pct"/>
            <w:noWrap w:val="0"/>
            <w:vAlign w:val="center"/>
          </w:tcPr>
          <w:p w14:paraId="159CD64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4520" w:type="pct"/>
            <w:noWrap w:val="0"/>
            <w:vAlign w:val="center"/>
          </w:tcPr>
          <w:p w14:paraId="33F72089">
            <w:pPr>
              <w:pStyle w:val="4"/>
              <w:spacing w:line="520" w:lineRule="exac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质保期：</w:t>
            </w:r>
            <w:r>
              <w:rPr>
                <w:rFonts w:hint="eastAsia" w:ascii="仿宋" w:hAnsi="仿宋" w:eastAsia="仿宋" w:cs="仿宋"/>
                <w:b/>
                <w:bCs/>
                <w:color w:val="auto"/>
                <w:sz w:val="24"/>
                <w:szCs w:val="24"/>
                <w:highlight w:val="none"/>
                <w:lang w:val="en-US" w:eastAsia="zh-CN"/>
              </w:rPr>
              <w:t>3年。</w:t>
            </w:r>
          </w:p>
        </w:tc>
      </w:tr>
      <w:tr w14:paraId="1B202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31" w:hRule="atLeast"/>
        </w:trPr>
        <w:tc>
          <w:tcPr>
            <w:tcW w:w="479" w:type="pct"/>
            <w:noWrap w:val="0"/>
            <w:vAlign w:val="center"/>
          </w:tcPr>
          <w:p w14:paraId="0A89C760">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4520" w:type="pct"/>
            <w:noWrap w:val="0"/>
            <w:vAlign w:val="center"/>
          </w:tcPr>
          <w:p w14:paraId="13A11FD6">
            <w:pPr>
              <w:spacing w:line="52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付款：</w:t>
            </w:r>
          </w:p>
          <w:p w14:paraId="388252DF">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1.合同总价即成交价，不受市场价变化或实际工作量变化的影响。</w:t>
            </w:r>
          </w:p>
          <w:p w14:paraId="2E2187AB">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2.付款方式和程序：</w:t>
            </w:r>
          </w:p>
          <w:p w14:paraId="692FC532">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2.1由采购人负责结算，在付款前，</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必须开具全额发票给采购人（附详细清单）。 </w:t>
            </w:r>
          </w:p>
          <w:p w14:paraId="0DE0B37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2.2.付款方式： </w:t>
            </w:r>
          </w:p>
          <w:p w14:paraId="4E942BA4">
            <w:pPr>
              <w:spacing w:line="520" w:lineRule="exact"/>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rPr>
              <w:t>2.2.1</w:t>
            </w:r>
            <w:r>
              <w:rPr>
                <w:rFonts w:hint="eastAsia" w:ascii="仿宋" w:hAnsi="仿宋" w:eastAsia="仿宋" w:cs="仿宋"/>
                <w:b w:val="0"/>
                <w:bCs/>
                <w:color w:val="auto"/>
                <w:szCs w:val="24"/>
              </w:rPr>
              <w:t>付款方式：</w:t>
            </w:r>
            <w:r>
              <w:rPr>
                <w:rFonts w:hint="eastAsia" w:ascii="仿宋" w:hAnsi="仿宋" w:eastAsia="仿宋" w:cs="仿宋"/>
                <w:b w:val="0"/>
                <w:bCs w:val="0"/>
                <w:color w:val="auto"/>
                <w:sz w:val="24"/>
                <w:szCs w:val="24"/>
                <w:highlight w:val="none"/>
                <w:lang w:val="en-US" w:eastAsia="zh-CN"/>
              </w:rPr>
              <w:t>供货、安装调试及验收合格后 ，达到付款条件起 30 日内，支付合同总金额的 100.00%。</w:t>
            </w:r>
            <w:bookmarkStart w:id="3" w:name="_GoBack"/>
            <w:bookmarkEnd w:id="3"/>
            <w:r>
              <w:rPr>
                <w:rFonts w:hint="eastAsia" w:ascii="仿宋" w:hAnsi="仿宋" w:eastAsia="仿宋" w:cs="仿宋"/>
                <w:b w:val="0"/>
                <w:bCs w:val="0"/>
                <w:color w:val="auto"/>
                <w:sz w:val="24"/>
                <w:szCs w:val="24"/>
                <w:highlight w:val="none"/>
                <w:lang w:val="en-US" w:eastAsia="zh-CN"/>
              </w:rPr>
              <w:t xml:space="preserve"> </w:t>
            </w:r>
          </w:p>
          <w:p w14:paraId="279488C4">
            <w:pPr>
              <w:spacing w:line="52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2.3支付方式：银行转账</w:t>
            </w:r>
            <w:r>
              <w:rPr>
                <w:rFonts w:hint="eastAsia" w:ascii="仿宋" w:hAnsi="仿宋" w:eastAsia="仿宋" w:cs="仿宋"/>
                <w:color w:val="auto"/>
                <w:sz w:val="24"/>
                <w:szCs w:val="24"/>
                <w:highlight w:val="none"/>
                <w:lang w:eastAsia="zh-CN"/>
              </w:rPr>
              <w:t>。</w:t>
            </w:r>
          </w:p>
        </w:tc>
      </w:tr>
      <w:tr w14:paraId="447DC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479" w:type="pct"/>
            <w:noWrap w:val="0"/>
            <w:vAlign w:val="center"/>
          </w:tcPr>
          <w:p w14:paraId="4A3CD146">
            <w:pPr>
              <w:pStyle w:val="6"/>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w:t>
            </w:r>
          </w:p>
        </w:tc>
        <w:tc>
          <w:tcPr>
            <w:tcW w:w="4520" w:type="pct"/>
            <w:noWrap w:val="0"/>
            <w:vAlign w:val="center"/>
          </w:tcPr>
          <w:p w14:paraId="1EFACF51">
            <w:pPr>
              <w:pStyle w:val="4"/>
              <w:tabs>
                <w:tab w:val="left" w:pos="152"/>
              </w:tabs>
              <w:spacing w:line="520" w:lineRule="exact"/>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质量要求：</w:t>
            </w:r>
          </w:p>
          <w:p w14:paraId="74FD3206">
            <w:pPr>
              <w:pStyle w:val="4"/>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保证所供产品的设计、制造、产品性能、材料的选择和材料的检验及产品的测试等，均应按国内外通行的现行标准相应的技术规范，以及质量、安全、环保标准和要求执行，这些标准和技术规范应为合同签订日为止最新公布发行的标准和技术规范，且全部要求为国产化产品。具体质量要求见技术指标要求。</w:t>
            </w:r>
          </w:p>
          <w:p w14:paraId="439470D0">
            <w:pPr>
              <w:pStyle w:val="4"/>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2.供应商保证所供产品进货渠道正规，无假货、水货或翻新货，并能按期交付。</w:t>
            </w:r>
          </w:p>
          <w:p w14:paraId="457B4EAD">
            <w:pPr>
              <w:pStyle w:val="4"/>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3.供应商必须承诺所有设备相关软件均不得使用盗版和非法正版，若发生版权纠纷等问题，采购人概不承担任何责任，由供应商承担由此造成的一切后果。</w:t>
            </w:r>
          </w:p>
          <w:p w14:paraId="5F3EE0CF">
            <w:pPr>
              <w:pStyle w:val="4"/>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4.保证所供产品在装卸、运输和仓储过程中有足够的包装保护，防止产品受潮、锈蚀、遭受冲撞及其他不可预见的损坏。</w:t>
            </w:r>
          </w:p>
        </w:tc>
      </w:tr>
      <w:tr w14:paraId="642316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479" w:type="pct"/>
            <w:noWrap w:val="0"/>
            <w:vAlign w:val="center"/>
          </w:tcPr>
          <w:p w14:paraId="196C58CE">
            <w:pPr>
              <w:pStyle w:val="6"/>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4520" w:type="pct"/>
            <w:noWrap w:val="0"/>
            <w:vAlign w:val="center"/>
          </w:tcPr>
          <w:p w14:paraId="0946AF0A">
            <w:pPr>
              <w:pStyle w:val="4"/>
              <w:numPr>
                <w:ilvl w:val="0"/>
                <w:numId w:val="0"/>
              </w:numPr>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质量标准：</w:t>
            </w:r>
            <w:r>
              <w:rPr>
                <w:rFonts w:hint="eastAsia" w:ascii="仿宋" w:hAnsi="仿宋" w:eastAsia="仿宋" w:cs="仿宋"/>
                <w:color w:val="auto"/>
                <w:kern w:val="0"/>
                <w:sz w:val="24"/>
                <w:szCs w:val="24"/>
                <w:highlight w:val="none"/>
                <w:lang w:eastAsia="zh-CN"/>
              </w:rPr>
              <w:t>质量验收标准或规范达到国家现行有关验收规范 “合格”标准。</w:t>
            </w:r>
          </w:p>
        </w:tc>
      </w:tr>
      <w:tr w14:paraId="5A272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88" w:hRule="atLeast"/>
        </w:trPr>
        <w:tc>
          <w:tcPr>
            <w:tcW w:w="479" w:type="pct"/>
            <w:noWrap w:val="0"/>
            <w:vAlign w:val="center"/>
          </w:tcPr>
          <w:p w14:paraId="594A4906">
            <w:pPr>
              <w:pStyle w:val="6"/>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w:t>
            </w:r>
          </w:p>
        </w:tc>
        <w:tc>
          <w:tcPr>
            <w:tcW w:w="4520" w:type="pct"/>
            <w:noWrap w:val="0"/>
            <w:vAlign w:val="center"/>
          </w:tcPr>
          <w:p w14:paraId="7C4D30BA">
            <w:pPr>
              <w:pStyle w:val="4"/>
              <w:tabs>
                <w:tab w:val="left" w:pos="152"/>
              </w:tabs>
              <w:spacing w:line="520" w:lineRule="exact"/>
              <w:rPr>
                <w:rFonts w:hint="eastAsia" w:ascii="仿宋" w:hAnsi="仿宋" w:eastAsia="仿宋" w:cs="仿宋"/>
                <w:b/>
                <w:bCs/>
                <w:color w:val="auto"/>
                <w:kern w:val="0"/>
                <w:sz w:val="24"/>
                <w:szCs w:val="24"/>
                <w:highlight w:val="none"/>
                <w:lang w:eastAsia="zh-CN"/>
              </w:rPr>
            </w:pPr>
            <w:r>
              <w:rPr>
                <w:rFonts w:hint="eastAsia" w:ascii="仿宋" w:hAnsi="仿宋" w:eastAsia="仿宋" w:cs="仿宋"/>
                <w:b/>
                <w:bCs/>
                <w:color w:val="auto"/>
                <w:kern w:val="0"/>
                <w:sz w:val="24"/>
                <w:szCs w:val="24"/>
                <w:highlight w:val="none"/>
              </w:rPr>
              <w:t>安装、调试和验收要求</w:t>
            </w:r>
            <w:r>
              <w:rPr>
                <w:rFonts w:hint="eastAsia" w:ascii="仿宋" w:hAnsi="仿宋" w:eastAsia="仿宋" w:cs="仿宋"/>
                <w:b/>
                <w:bCs/>
                <w:color w:val="auto"/>
                <w:kern w:val="0"/>
                <w:sz w:val="24"/>
                <w:szCs w:val="24"/>
                <w:highlight w:val="none"/>
                <w:lang w:eastAsia="zh-CN"/>
              </w:rPr>
              <w:t>：</w:t>
            </w:r>
          </w:p>
          <w:p w14:paraId="2D5EEC94">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1.包装:货物为原厂商未启封全新包装，具出厂合格证，序列号、包装箱号与出厂批号一致，并可追索查阅。所有设备的附件必须齐全。</w:t>
            </w:r>
          </w:p>
          <w:p w14:paraId="4DD746AE">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2运输:选择运输风险小、运费低、距离短的运输路线。运杂费一次包含在总价内，包括生产厂到施工现场所需的装卸、运输(含保险费)、现场保管费、二次倒运费、吊装费等费用。</w:t>
            </w:r>
          </w:p>
          <w:p w14:paraId="055B3BCA">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现场验收：货物及其备附件到达采购人指定地点后，采购人根据合同要求，在中标供应商和采购人、相关负责人三方同时在场的情况下，进行外观验收，确认产地、规格、型号和数量。</w:t>
            </w:r>
          </w:p>
          <w:p w14:paraId="1EB937AD">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安装调试：中标供应商应配合采购人的时限要求，负责在现场对产品进行安装、调试和试运行，直至验收合格。中标供应商应提供全部安装、调试过程中所需的材料、设施 设备、人工等。试运行应当在监理单位的监督下进行。</w:t>
            </w:r>
          </w:p>
          <w:p w14:paraId="6B6B6DF6">
            <w:pPr>
              <w:numPr>
                <w:ilvl w:val="0"/>
                <w:numId w:val="0"/>
              </w:numPr>
              <w:tabs>
                <w:tab w:val="left" w:pos="152"/>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验收：</w:t>
            </w:r>
          </w:p>
          <w:p w14:paraId="7E37A4DA">
            <w:pPr>
              <w:numPr>
                <w:ilvl w:val="0"/>
                <w:numId w:val="0"/>
              </w:numPr>
              <w:tabs>
                <w:tab w:val="left" w:pos="152"/>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rPr>
              <w:t>4.1</w:t>
            </w:r>
            <w:r>
              <w:rPr>
                <w:rFonts w:hint="eastAsia" w:ascii="仿宋" w:hAnsi="仿宋" w:eastAsia="仿宋" w:cs="仿宋"/>
                <w:color w:val="auto"/>
                <w:sz w:val="24"/>
                <w:szCs w:val="24"/>
                <w:highlight w:val="none"/>
              </w:rPr>
              <w:t>项目验收分初验和终验: 初验：货物到达交货地点后，由使用单位根据合同对货物（设备）的名称、品牌、规格、型号、产地、数量进行检查。 终验：所有货物(设备)安装、调试完毕，正常使用后，由采购人进行终验（最终验收），合格后签发《终验合格单》。</w:t>
            </w:r>
          </w:p>
          <w:p w14:paraId="2CBD72F6">
            <w:pPr>
              <w:tabs>
                <w:tab w:val="left" w:pos="152"/>
              </w:tabs>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4.2</w:t>
            </w:r>
            <w:r>
              <w:rPr>
                <w:rFonts w:hint="eastAsia" w:ascii="仿宋" w:hAnsi="仿宋" w:eastAsia="仿宋" w:cs="仿宋"/>
                <w:color w:val="auto"/>
                <w:sz w:val="24"/>
                <w:szCs w:val="24"/>
                <w:highlight w:val="none"/>
              </w:rPr>
              <w:t>验收不合格的成交单位，必须在接到通知后7个日历日内确保货物通过验收。如接到通知后 7个日历日内验收仍不合格，采购人可提出索赔或取消其供货合同。采购代理机构将把成交资格授予评审排序下一名的成交单位。</w:t>
            </w:r>
          </w:p>
          <w:p w14:paraId="4990D4FE">
            <w:pPr>
              <w:tabs>
                <w:tab w:val="left" w:pos="152"/>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4.3</w:t>
            </w:r>
            <w:r>
              <w:rPr>
                <w:rFonts w:hint="eastAsia" w:ascii="仿宋" w:hAnsi="仿宋" w:eastAsia="仿宋" w:cs="仿宋"/>
                <w:color w:val="auto"/>
                <w:sz w:val="24"/>
                <w:szCs w:val="24"/>
                <w:highlight w:val="none"/>
              </w:rPr>
              <w:t>验收依据 （1）合同文本及合同补充文件（条款）； （2）产品的合法来源渠道证明文件、相应功能证明材料；（3）招标文件； （4）投标文件； （5）合同货物清单； （6）生产厂家的企业资质、货物的执行标准。</w:t>
            </w:r>
          </w:p>
          <w:p w14:paraId="53F9A1C7">
            <w:pPr>
              <w:pStyle w:val="4"/>
              <w:tabs>
                <w:tab w:val="left" w:pos="152"/>
              </w:tabs>
              <w:spacing w:line="520" w:lineRule="exact"/>
              <w:rPr>
                <w:rFonts w:hint="eastAsia" w:ascii="仿宋" w:hAnsi="仿宋" w:eastAsia="仿宋" w:cs="仿宋"/>
                <w:color w:val="auto"/>
                <w:kern w:val="0"/>
                <w:sz w:val="24"/>
                <w:szCs w:val="24"/>
                <w:highlight w:val="none"/>
              </w:rPr>
            </w:pPr>
          </w:p>
          <w:p w14:paraId="19BD2FBC">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培训要求</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应详细制定人员培训方案，包含现场培训和集中培训。培训方案应包括培训目的、培训内容、 培训时间地点安排、培训组织方式等。</w:t>
            </w:r>
          </w:p>
        </w:tc>
      </w:tr>
      <w:tr w14:paraId="5B489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3" w:hRule="atLeast"/>
        </w:trPr>
        <w:tc>
          <w:tcPr>
            <w:tcW w:w="479" w:type="pct"/>
            <w:noWrap w:val="0"/>
            <w:vAlign w:val="center"/>
          </w:tcPr>
          <w:p w14:paraId="26CEAF5C">
            <w:pPr>
              <w:pStyle w:val="6"/>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w:t>
            </w:r>
          </w:p>
        </w:tc>
        <w:tc>
          <w:tcPr>
            <w:tcW w:w="4520" w:type="pct"/>
            <w:noWrap w:val="0"/>
            <w:vAlign w:val="center"/>
          </w:tcPr>
          <w:p w14:paraId="6F183A1F">
            <w:pPr>
              <w:pStyle w:val="4"/>
              <w:tabs>
                <w:tab w:val="left" w:pos="152"/>
              </w:tabs>
              <w:spacing w:line="520" w:lineRule="exact"/>
              <w:rPr>
                <w:rFonts w:hint="eastAsia" w:ascii="仿宋" w:hAnsi="仿宋" w:eastAsia="仿宋" w:cs="仿宋"/>
                <w:b/>
                <w:bCs/>
                <w:color w:val="auto"/>
                <w:kern w:val="0"/>
                <w:sz w:val="24"/>
                <w:szCs w:val="24"/>
                <w:highlight w:val="none"/>
                <w:lang w:eastAsia="zh-CN"/>
              </w:rPr>
            </w:pPr>
            <w:r>
              <w:rPr>
                <w:rFonts w:hint="eastAsia" w:ascii="仿宋" w:hAnsi="仿宋" w:eastAsia="仿宋" w:cs="仿宋"/>
                <w:b/>
                <w:bCs/>
                <w:color w:val="auto"/>
                <w:kern w:val="0"/>
                <w:sz w:val="24"/>
                <w:szCs w:val="24"/>
                <w:highlight w:val="none"/>
              </w:rPr>
              <w:t>服务要求</w:t>
            </w:r>
            <w:r>
              <w:rPr>
                <w:rFonts w:hint="eastAsia" w:ascii="仿宋" w:hAnsi="仿宋" w:eastAsia="仿宋" w:cs="仿宋"/>
                <w:b/>
                <w:bCs/>
                <w:color w:val="auto"/>
                <w:kern w:val="0"/>
                <w:sz w:val="24"/>
                <w:szCs w:val="24"/>
                <w:highlight w:val="none"/>
                <w:lang w:eastAsia="zh-CN"/>
              </w:rPr>
              <w:t>：</w:t>
            </w:r>
          </w:p>
          <w:p w14:paraId="20A434F4">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供应商交付的成果及材料必须保证质量可靠，应全面满足</w:t>
            </w:r>
            <w:r>
              <w:rPr>
                <w:rFonts w:hint="eastAsia" w:ascii="仿宋" w:hAnsi="仿宋" w:eastAsia="仿宋" w:cs="仿宋"/>
                <w:color w:val="auto"/>
                <w:kern w:val="0"/>
                <w:sz w:val="24"/>
                <w:szCs w:val="24"/>
                <w:highlight w:val="none"/>
                <w:lang w:eastAsia="zh-CN"/>
              </w:rPr>
              <w:t>谈判文件</w:t>
            </w:r>
            <w:r>
              <w:rPr>
                <w:rFonts w:hint="eastAsia" w:ascii="仿宋" w:hAnsi="仿宋" w:eastAsia="仿宋" w:cs="仿宋"/>
                <w:color w:val="auto"/>
                <w:kern w:val="0"/>
                <w:sz w:val="24"/>
                <w:szCs w:val="24"/>
                <w:highlight w:val="none"/>
              </w:rPr>
              <w:t>的要求，</w:t>
            </w:r>
            <w:r>
              <w:rPr>
                <w:rFonts w:hint="eastAsia" w:ascii="仿宋" w:hAnsi="仿宋" w:eastAsia="仿宋" w:cs="仿宋"/>
                <w:color w:val="auto"/>
                <w:kern w:val="0"/>
                <w:sz w:val="24"/>
                <w:szCs w:val="24"/>
                <w:highlight w:val="none"/>
                <w:lang w:eastAsia="zh-CN"/>
              </w:rPr>
              <w:t>谈判文件</w:t>
            </w:r>
            <w:r>
              <w:rPr>
                <w:rFonts w:hint="eastAsia" w:ascii="仿宋" w:hAnsi="仿宋" w:eastAsia="仿宋" w:cs="仿宋"/>
                <w:color w:val="auto"/>
                <w:kern w:val="0"/>
                <w:sz w:val="24"/>
                <w:szCs w:val="24"/>
                <w:highlight w:val="none"/>
              </w:rPr>
              <w:t>未明确要求的内容，</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按招标服务要求或以</w:t>
            </w:r>
            <w:r>
              <w:rPr>
                <w:rFonts w:hint="eastAsia" w:ascii="仿宋" w:hAnsi="仿宋" w:eastAsia="仿宋" w:cs="仿宋"/>
                <w:color w:val="auto"/>
                <w:kern w:val="0"/>
                <w:sz w:val="24"/>
                <w:szCs w:val="24"/>
                <w:highlight w:val="none"/>
                <w:lang w:eastAsia="zh-CN"/>
              </w:rPr>
              <w:t>采购人</w:t>
            </w:r>
            <w:r>
              <w:rPr>
                <w:rFonts w:hint="eastAsia" w:ascii="仿宋" w:hAnsi="仿宋" w:eastAsia="仿宋" w:cs="仿宋"/>
                <w:color w:val="auto"/>
                <w:kern w:val="0"/>
                <w:sz w:val="24"/>
                <w:szCs w:val="24"/>
                <w:highlight w:val="none"/>
              </w:rPr>
              <w:t>的补充要求为准。所供服务应严格按照国家最新发布的规范标准执行，如发生问题由</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承担全部责任。</w:t>
            </w:r>
          </w:p>
          <w:p w14:paraId="4E6B7B5A">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必须在8小时内对采购人所提出的维修要求做出实质性反应。</w:t>
            </w:r>
          </w:p>
          <w:p w14:paraId="4767B748">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在接到故障申报后，必须在1小时内响应，需要现场维护的，4小时内到达现场，并提供7×24小时的电话技术支持。</w:t>
            </w:r>
          </w:p>
          <w:p w14:paraId="0943C50E">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设备运行过程中如果发生硬件故障，</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必须提供备品备件设备，保障系统正常运行。</w:t>
            </w:r>
          </w:p>
        </w:tc>
      </w:tr>
      <w:tr w14:paraId="590C5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3" w:hRule="atLeast"/>
        </w:trPr>
        <w:tc>
          <w:tcPr>
            <w:tcW w:w="479" w:type="pct"/>
            <w:noWrap w:val="0"/>
            <w:vAlign w:val="center"/>
          </w:tcPr>
          <w:p w14:paraId="676CAF10">
            <w:pPr>
              <w:pStyle w:val="6"/>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w:t>
            </w:r>
          </w:p>
        </w:tc>
        <w:tc>
          <w:tcPr>
            <w:tcW w:w="4520" w:type="pct"/>
            <w:noWrap w:val="0"/>
            <w:vAlign w:val="center"/>
          </w:tcPr>
          <w:p w14:paraId="7BEEB1A3">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违约责任：</w:t>
            </w:r>
          </w:p>
          <w:p w14:paraId="02870610">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1.按《中华人民共和国政府采购法》、《中华人民共和国民法典第三编合同法》中的相关条款执行。</w:t>
            </w:r>
          </w:p>
          <w:p w14:paraId="030DBEA9">
            <w:pPr>
              <w:tabs>
                <w:tab w:val="left" w:pos="152"/>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2.未按合同或</w:t>
            </w:r>
            <w:r>
              <w:rPr>
                <w:rFonts w:hint="eastAsia" w:ascii="仿宋" w:hAnsi="仿宋" w:eastAsia="仿宋" w:cs="仿宋"/>
                <w:color w:val="auto"/>
                <w:sz w:val="24"/>
                <w:szCs w:val="24"/>
                <w:highlight w:val="none"/>
                <w:lang w:eastAsia="zh-CN"/>
              </w:rPr>
              <w:t>谈判文件</w:t>
            </w:r>
            <w:r>
              <w:rPr>
                <w:rFonts w:hint="eastAsia" w:ascii="仿宋" w:hAnsi="仿宋" w:eastAsia="仿宋" w:cs="仿宋"/>
                <w:color w:val="auto"/>
                <w:sz w:val="24"/>
                <w:szCs w:val="24"/>
                <w:highlight w:val="none"/>
              </w:rPr>
              <w:t>要求提供产品或供应的产品质量不能满足采购人技术要求，采购单位有权终止合同，甚至对</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违约行为进行追究。</w:t>
            </w:r>
          </w:p>
          <w:p w14:paraId="33A4E943">
            <w:pPr>
              <w:tabs>
                <w:tab w:val="left" w:pos="152"/>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的投标文件为签订正式书面合同书不可分割的部分，供货方应履行相应的责任。</w:t>
            </w:r>
          </w:p>
        </w:tc>
      </w:tr>
      <w:tr w14:paraId="050A6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3" w:hRule="atLeast"/>
        </w:trPr>
        <w:tc>
          <w:tcPr>
            <w:tcW w:w="479" w:type="pct"/>
            <w:noWrap w:val="0"/>
            <w:vAlign w:val="center"/>
          </w:tcPr>
          <w:p w14:paraId="4A12D942">
            <w:pPr>
              <w:pStyle w:val="6"/>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4520" w:type="pct"/>
            <w:noWrap w:val="0"/>
            <w:vAlign w:val="center"/>
          </w:tcPr>
          <w:p w14:paraId="60FF7FA2">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bCs/>
                <w:color w:val="auto"/>
                <w:sz w:val="24"/>
                <w:szCs w:val="24"/>
              </w:rPr>
              <w:t>知识产权：</w:t>
            </w:r>
          </w:p>
          <w:p w14:paraId="7A9AE4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rPr>
              <w:t>应对所供产品具有或已取得合法知识产权，</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应保证所供产品及服务不会出现因第三方提出侵犯其专利权、商标权或其它知识产权而引发法律或经济纠纷，否则由</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负责解决并承担全部责任；如因此影响到采购人的正常使用，采购人有权单方解除本合同，</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应无条件向采购人退回已收取的全部合同价款</w:t>
            </w:r>
          </w:p>
          <w:p w14:paraId="0C8D08D8">
            <w:pPr>
              <w:tabs>
                <w:tab w:val="left" w:pos="152"/>
              </w:tabs>
              <w:spacing w:line="520" w:lineRule="exact"/>
              <w:ind w:firstLine="480" w:firstLineChars="200"/>
              <w:rPr>
                <w:rFonts w:hint="eastAsia" w:ascii="仿宋" w:hAnsi="仿宋" w:eastAsia="仿宋" w:cs="仿宋"/>
                <w:color w:val="auto"/>
                <w:sz w:val="24"/>
                <w:szCs w:val="24"/>
                <w:highlight w:val="none"/>
              </w:rPr>
            </w:pPr>
          </w:p>
        </w:tc>
      </w:tr>
    </w:tbl>
    <w:p w14:paraId="7E319A31">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outlineLvl w:val="0"/>
        <w:rPr>
          <w:rFonts w:hint="eastAsia" w:ascii="仿宋" w:hAnsi="仿宋" w:eastAsia="仿宋" w:cs="仿宋"/>
          <w:b/>
          <w:bCs/>
          <w:color w:val="auto"/>
          <w:sz w:val="40"/>
          <w:szCs w:val="48"/>
          <w:highlight w:val="none"/>
        </w:rPr>
      </w:pPr>
      <w:r>
        <w:rPr>
          <w:rFonts w:hint="eastAsia" w:ascii="仿宋" w:hAnsi="仿宋" w:eastAsia="仿宋" w:cs="仿宋"/>
          <w:b/>
          <w:bCs/>
          <w:color w:val="auto"/>
          <w:sz w:val="40"/>
          <w:szCs w:val="48"/>
          <w:highlight w:val="none"/>
        </w:rPr>
        <w:br w:type="page"/>
      </w:r>
      <w:bookmarkStart w:id="1" w:name="_Toc12978"/>
      <w:bookmarkStart w:id="2" w:name="_Toc8165673"/>
    </w:p>
    <w:p w14:paraId="2E4B97A3">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outlineLvl w:val="0"/>
        <w:rPr>
          <w:rFonts w:hint="eastAsia" w:ascii="仿宋" w:hAnsi="仿宋" w:eastAsia="仿宋" w:cs="仿宋"/>
          <w:b/>
          <w:bCs/>
          <w:color w:val="auto"/>
          <w:sz w:val="40"/>
          <w:szCs w:val="48"/>
          <w:highlight w:val="none"/>
        </w:rPr>
      </w:pPr>
    </w:p>
    <w:p w14:paraId="30A4BE81">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outlineLvl w:val="0"/>
        <w:rPr>
          <w:rFonts w:hint="eastAsia" w:ascii="仿宋" w:hAnsi="仿宋" w:eastAsia="仿宋" w:cs="仿宋"/>
          <w:b/>
          <w:bCs/>
          <w:color w:val="auto"/>
          <w:sz w:val="40"/>
          <w:szCs w:val="48"/>
          <w:highlight w:val="none"/>
        </w:rPr>
      </w:pPr>
    </w:p>
    <w:p w14:paraId="5F509029">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outlineLvl w:val="0"/>
        <w:rPr>
          <w:rFonts w:hint="eastAsia" w:ascii="仿宋" w:hAnsi="仿宋" w:eastAsia="仿宋" w:cs="仿宋"/>
          <w:b/>
          <w:bCs/>
          <w:color w:val="auto"/>
          <w:sz w:val="40"/>
          <w:szCs w:val="48"/>
          <w:highlight w:val="none"/>
        </w:rPr>
      </w:pPr>
    </w:p>
    <w:p w14:paraId="38DEB3FF">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outlineLvl w:val="0"/>
        <w:rPr>
          <w:rFonts w:hint="eastAsia" w:ascii="仿宋" w:hAnsi="仿宋" w:eastAsia="仿宋" w:cs="仿宋"/>
          <w:b/>
          <w:bCs/>
          <w:color w:val="auto"/>
          <w:sz w:val="40"/>
          <w:szCs w:val="48"/>
          <w:highlight w:val="none"/>
        </w:rPr>
      </w:pPr>
    </w:p>
    <w:bookmarkEnd w:id="1"/>
    <w:bookmarkEnd w:id="2"/>
    <w:p w14:paraId="2EC56456">
      <w:pPr>
        <w:spacing w:line="360" w:lineRule="auto"/>
        <w:jc w:val="center"/>
        <w:rPr>
          <w:rFonts w:hint="eastAsia" w:ascii="仿宋" w:hAnsi="仿宋" w:eastAsia="仿宋" w:cs="仿宋"/>
          <w:b/>
          <w:bCs/>
          <w:color w:val="auto"/>
          <w:sz w:val="52"/>
          <w:szCs w:val="72"/>
          <w:lang w:val="zh-CN"/>
        </w:rPr>
      </w:pPr>
      <w:r>
        <w:rPr>
          <w:rFonts w:hint="eastAsia" w:ascii="仿宋" w:hAnsi="仿宋" w:eastAsia="仿宋" w:cs="仿宋"/>
          <w:b/>
          <w:bCs/>
          <w:color w:val="auto"/>
          <w:sz w:val="52"/>
          <w:szCs w:val="72"/>
          <w:lang w:val="zh-CN" w:eastAsia="zh-CN"/>
        </w:rPr>
        <w:t xml:space="preserve">微机室设备采购项目 </w:t>
      </w:r>
    </w:p>
    <w:p w14:paraId="2CC46A04">
      <w:pPr>
        <w:spacing w:line="360" w:lineRule="auto"/>
        <w:jc w:val="center"/>
        <w:rPr>
          <w:rFonts w:hint="eastAsia" w:ascii="仿宋" w:hAnsi="仿宋" w:eastAsia="仿宋" w:cs="仿宋"/>
          <w:b/>
          <w:bCs/>
          <w:color w:val="auto"/>
          <w:sz w:val="52"/>
          <w:szCs w:val="72"/>
          <w:lang w:val="zh-CN"/>
        </w:rPr>
      </w:pPr>
    </w:p>
    <w:p w14:paraId="514C7510">
      <w:pPr>
        <w:spacing w:line="360" w:lineRule="auto"/>
        <w:jc w:val="center"/>
        <w:rPr>
          <w:rFonts w:hint="eastAsia" w:ascii="仿宋" w:hAnsi="仿宋" w:eastAsia="仿宋" w:cs="仿宋"/>
          <w:b/>
          <w:bCs/>
          <w:color w:val="auto"/>
          <w:sz w:val="48"/>
          <w:szCs w:val="56"/>
        </w:rPr>
      </w:pPr>
      <w:r>
        <w:rPr>
          <w:rFonts w:hint="eastAsia" w:ascii="仿宋" w:hAnsi="仿宋" w:eastAsia="仿宋" w:cs="仿宋"/>
          <w:b/>
          <w:bCs/>
          <w:color w:val="auto"/>
          <w:sz w:val="48"/>
          <w:szCs w:val="56"/>
        </w:rPr>
        <w:t>采购合同</w:t>
      </w:r>
    </w:p>
    <w:p w14:paraId="4C4642BA">
      <w:pPr>
        <w:spacing w:line="360" w:lineRule="auto"/>
        <w:jc w:val="center"/>
        <w:rPr>
          <w:rFonts w:hint="eastAsia" w:ascii="仿宋" w:hAnsi="仿宋" w:eastAsia="仿宋" w:cs="仿宋"/>
          <w:color w:val="auto"/>
          <w:sz w:val="44"/>
          <w:szCs w:val="44"/>
        </w:rPr>
      </w:pPr>
    </w:p>
    <w:p w14:paraId="2D0C710D">
      <w:pPr>
        <w:spacing w:line="360" w:lineRule="auto"/>
        <w:jc w:val="center"/>
        <w:rPr>
          <w:rFonts w:hint="eastAsia" w:ascii="仿宋" w:hAnsi="仿宋" w:eastAsia="仿宋" w:cs="仿宋"/>
          <w:color w:val="auto"/>
          <w:sz w:val="44"/>
          <w:szCs w:val="44"/>
        </w:rPr>
      </w:pPr>
    </w:p>
    <w:p w14:paraId="69888F58">
      <w:pPr>
        <w:spacing w:line="360" w:lineRule="auto"/>
        <w:jc w:val="center"/>
        <w:rPr>
          <w:rFonts w:hint="eastAsia" w:ascii="仿宋" w:hAnsi="仿宋" w:eastAsia="仿宋" w:cs="仿宋"/>
          <w:color w:val="auto"/>
          <w:sz w:val="44"/>
          <w:szCs w:val="44"/>
        </w:rPr>
      </w:pPr>
    </w:p>
    <w:p w14:paraId="0E580AAF">
      <w:pPr>
        <w:spacing w:line="360" w:lineRule="auto"/>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（示范文本）</w:t>
      </w:r>
    </w:p>
    <w:p w14:paraId="00C2FD7A">
      <w:pPr>
        <w:spacing w:line="360" w:lineRule="auto"/>
        <w:jc w:val="center"/>
        <w:rPr>
          <w:rFonts w:hint="eastAsia" w:ascii="仿宋" w:hAnsi="仿宋" w:eastAsia="仿宋" w:cs="仿宋"/>
          <w:b/>
          <w:bCs/>
          <w:color w:val="auto"/>
          <w:sz w:val="36"/>
          <w:szCs w:val="32"/>
        </w:rPr>
      </w:pPr>
      <w:r>
        <w:rPr>
          <w:rFonts w:hint="eastAsia" w:ascii="仿宋" w:hAnsi="仿宋" w:eastAsia="仿宋" w:cs="仿宋"/>
          <w:bCs/>
          <w:color w:val="auto"/>
          <w:sz w:val="48"/>
          <w:szCs w:val="48"/>
        </w:rPr>
        <w:br w:type="page"/>
      </w:r>
      <w:r>
        <w:rPr>
          <w:rFonts w:hint="eastAsia" w:ascii="仿宋" w:hAnsi="仿宋" w:eastAsia="仿宋" w:cs="仿宋"/>
          <w:b/>
          <w:bCs/>
          <w:color w:val="auto"/>
          <w:sz w:val="36"/>
          <w:szCs w:val="32"/>
        </w:rPr>
        <w:t>第一部分  协议书</w:t>
      </w:r>
    </w:p>
    <w:p w14:paraId="5E2FF7D5">
      <w:pPr>
        <w:adjustRightInd w:val="0"/>
        <w:snapToGrid w:val="0"/>
        <w:spacing w:line="360" w:lineRule="auto"/>
        <w:ind w:firstLine="482" w:firstLineChars="200"/>
        <w:rPr>
          <w:rFonts w:hint="eastAsia" w:ascii="仿宋" w:hAnsi="仿宋" w:eastAsia="仿宋" w:cs="仿宋"/>
          <w:b/>
          <w:color w:val="auto"/>
          <w:u w:val="single"/>
        </w:rPr>
      </w:pPr>
      <w:r>
        <w:rPr>
          <w:rFonts w:hint="eastAsia" w:ascii="仿宋" w:hAnsi="仿宋" w:eastAsia="仿宋" w:cs="仿宋"/>
          <w:b/>
          <w:color w:val="auto"/>
        </w:rPr>
        <w:t>采购人（全称）：</w:t>
      </w:r>
      <w:r>
        <w:rPr>
          <w:rFonts w:hint="eastAsia" w:ascii="仿宋" w:hAnsi="仿宋" w:eastAsia="仿宋" w:cs="仿宋"/>
          <w:color w:val="auto"/>
          <w:u w:val="single"/>
        </w:rPr>
        <w:t xml:space="preserve">                                         ；</w:t>
      </w:r>
      <w:r>
        <w:rPr>
          <w:rFonts w:hint="eastAsia" w:ascii="仿宋" w:hAnsi="仿宋" w:eastAsia="仿宋" w:cs="仿宋"/>
          <w:b/>
          <w:color w:val="auto"/>
          <w:u w:val="single"/>
        </w:rPr>
        <w:t xml:space="preserve">                                          </w:t>
      </w:r>
    </w:p>
    <w:p w14:paraId="4D1A0341">
      <w:pPr>
        <w:adjustRightInd w:val="0"/>
        <w:snapToGrid w:val="0"/>
        <w:spacing w:line="360" w:lineRule="auto"/>
        <w:ind w:firstLine="482" w:firstLineChars="200"/>
        <w:rPr>
          <w:rFonts w:hint="eastAsia" w:ascii="仿宋" w:hAnsi="仿宋" w:eastAsia="仿宋" w:cs="仿宋"/>
          <w:color w:val="auto"/>
          <w:u w:val="single"/>
        </w:rPr>
      </w:pPr>
      <w:r>
        <w:rPr>
          <w:rFonts w:hint="eastAsia" w:ascii="仿宋" w:hAnsi="仿宋" w:eastAsia="仿宋" w:cs="仿宋"/>
          <w:b/>
          <w:color w:val="auto"/>
          <w:lang w:eastAsia="zh-CN"/>
        </w:rPr>
        <w:t>供应商</w:t>
      </w:r>
      <w:r>
        <w:rPr>
          <w:rFonts w:hint="eastAsia" w:ascii="仿宋" w:hAnsi="仿宋" w:eastAsia="仿宋" w:cs="仿宋"/>
          <w:b/>
          <w:color w:val="auto"/>
        </w:rPr>
        <w:t>（全称）：</w:t>
      </w:r>
      <w:r>
        <w:rPr>
          <w:rFonts w:hint="eastAsia" w:ascii="仿宋" w:hAnsi="仿宋" w:eastAsia="仿宋" w:cs="仿宋"/>
          <w:color w:val="auto"/>
          <w:u w:val="single"/>
        </w:rPr>
        <w:t xml:space="preserve">                                         ；</w:t>
      </w:r>
      <w:r>
        <w:rPr>
          <w:rFonts w:hint="eastAsia" w:ascii="仿宋" w:hAnsi="仿宋" w:eastAsia="仿宋" w:cs="仿宋"/>
          <w:b/>
          <w:color w:val="auto"/>
          <w:u w:val="single"/>
        </w:rPr>
        <w:t xml:space="preserve">                                       </w:t>
      </w:r>
      <w:r>
        <w:rPr>
          <w:rFonts w:hint="eastAsia" w:ascii="仿宋" w:hAnsi="仿宋" w:eastAsia="仿宋" w:cs="仿宋"/>
          <w:color w:val="auto"/>
          <w:u w:val="single"/>
        </w:rPr>
        <w:t xml:space="preserve">   </w:t>
      </w:r>
    </w:p>
    <w:p w14:paraId="4CC17DD8">
      <w:pPr>
        <w:adjustRightInd w:val="0"/>
        <w:snapToGrid w:val="0"/>
        <w:spacing w:line="360" w:lineRule="auto"/>
        <w:ind w:firstLine="480" w:firstLineChars="200"/>
        <w:rPr>
          <w:rFonts w:hint="eastAsia" w:ascii="仿宋" w:hAnsi="仿宋" w:eastAsia="仿宋" w:cs="仿宋"/>
          <w:color w:val="auto"/>
          <w:u w:val="single"/>
        </w:rPr>
      </w:pPr>
      <w:r>
        <w:rPr>
          <w:rFonts w:hint="eastAsia" w:ascii="仿宋" w:hAnsi="仿宋" w:eastAsia="仿宋" w:cs="仿宋"/>
          <w:color w:val="auto"/>
        </w:rPr>
        <w:t>依照《中华人民共和国民法典第三编合同》及其他有关法律、法规，遵循平等、自愿、公平和诚信的原则，双方就下述项目范围与相关服务事项协商一致，订立本合同。</w:t>
      </w:r>
    </w:p>
    <w:p w14:paraId="02AAF184">
      <w:pPr>
        <w:spacing w:line="360" w:lineRule="auto"/>
        <w:rPr>
          <w:rFonts w:hint="eastAsia" w:ascii="仿宋" w:hAnsi="仿宋" w:eastAsia="仿宋" w:cs="仿宋"/>
          <w:b/>
          <w:color w:val="auto"/>
        </w:rPr>
      </w:pPr>
      <w:r>
        <w:rPr>
          <w:rFonts w:hint="eastAsia" w:ascii="仿宋" w:hAnsi="仿宋" w:eastAsia="仿宋" w:cs="仿宋"/>
          <w:b/>
          <w:color w:val="auto"/>
        </w:rPr>
        <w:t>一、项目概况</w:t>
      </w:r>
    </w:p>
    <w:p w14:paraId="0149540B">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74667FBE">
      <w:pPr>
        <w:adjustRightInd w:val="0"/>
        <w:snapToGrid w:val="0"/>
        <w:spacing w:line="360" w:lineRule="auto"/>
        <w:ind w:firstLine="475" w:firstLineChars="198"/>
        <w:rPr>
          <w:rFonts w:hint="eastAsia" w:ascii="仿宋" w:hAnsi="仿宋" w:eastAsia="仿宋" w:cs="仿宋"/>
          <w:color w:val="auto"/>
          <w:u w:val="single"/>
        </w:rPr>
      </w:pPr>
      <w:r>
        <w:rPr>
          <w:rFonts w:hint="eastAsia" w:ascii="仿宋" w:hAnsi="仿宋" w:eastAsia="仿宋" w:cs="仿宋"/>
          <w:color w:val="auto"/>
        </w:rPr>
        <w:t>2.项目地点：</w:t>
      </w:r>
      <w:r>
        <w:rPr>
          <w:rFonts w:hint="eastAsia" w:ascii="仿宋" w:hAnsi="仿宋" w:eastAsia="仿宋" w:cs="仿宋"/>
          <w:color w:val="auto"/>
          <w:u w:val="single"/>
        </w:rPr>
        <w:t xml:space="preserve">                                             ；                                            </w:t>
      </w:r>
    </w:p>
    <w:p w14:paraId="4F2BADFC">
      <w:pPr>
        <w:adjustRightInd w:val="0"/>
        <w:snapToGrid w:val="0"/>
        <w:spacing w:line="360" w:lineRule="auto"/>
        <w:ind w:firstLine="475" w:firstLineChars="198"/>
        <w:jc w:val="left"/>
        <w:rPr>
          <w:rFonts w:hint="eastAsia" w:ascii="仿宋" w:hAnsi="仿宋" w:eastAsia="仿宋" w:cs="仿宋"/>
          <w:color w:val="auto"/>
          <w:szCs w:val="24"/>
        </w:rPr>
      </w:pPr>
      <w:r>
        <w:rPr>
          <w:rFonts w:hint="eastAsia" w:ascii="仿宋" w:hAnsi="仿宋" w:eastAsia="仿宋" w:cs="仿宋"/>
          <w:color w:val="auto"/>
          <w:szCs w:val="24"/>
        </w:rPr>
        <w:t>3.项目内容：</w:t>
      </w:r>
      <w:r>
        <w:rPr>
          <w:rFonts w:hint="eastAsia" w:ascii="仿宋" w:hAnsi="仿宋" w:eastAsia="仿宋" w:cs="仿宋"/>
          <w:color w:val="auto"/>
          <w:u w:val="single"/>
        </w:rPr>
        <w:t xml:space="preserve">                                              ；       </w:t>
      </w:r>
      <w:r>
        <w:rPr>
          <w:rFonts w:hint="eastAsia" w:ascii="仿宋" w:hAnsi="仿宋" w:eastAsia="仿宋" w:cs="仿宋"/>
          <w:color w:val="auto"/>
          <w:szCs w:val="24"/>
          <w:u w:val="single"/>
        </w:rPr>
        <w:t xml:space="preserve">                                             </w:t>
      </w:r>
    </w:p>
    <w:p w14:paraId="3F676B95">
      <w:pPr>
        <w:spacing w:line="360" w:lineRule="auto"/>
        <w:rPr>
          <w:rFonts w:hint="eastAsia" w:ascii="仿宋" w:hAnsi="仿宋" w:eastAsia="仿宋" w:cs="仿宋"/>
          <w:b/>
          <w:color w:val="auto"/>
        </w:rPr>
      </w:pPr>
      <w:r>
        <w:rPr>
          <w:rFonts w:hint="eastAsia" w:ascii="仿宋" w:hAnsi="仿宋" w:eastAsia="仿宋" w:cs="仿宋"/>
          <w:b/>
          <w:color w:val="auto"/>
        </w:rPr>
        <w:t>二、组成本合同的文件</w:t>
      </w:r>
    </w:p>
    <w:p w14:paraId="07E8DA28">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 协议书；</w:t>
      </w:r>
    </w:p>
    <w:p w14:paraId="01E61C51">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 xml:space="preserve">2. </w:t>
      </w:r>
      <w:r>
        <w:rPr>
          <w:rFonts w:hint="eastAsia" w:ascii="仿宋" w:hAnsi="仿宋" w:eastAsia="仿宋" w:cs="仿宋"/>
          <w:color w:val="auto"/>
          <w:lang w:eastAsia="zh-CN"/>
        </w:rPr>
        <w:t>成交</w:t>
      </w:r>
      <w:r>
        <w:rPr>
          <w:rFonts w:hint="eastAsia" w:ascii="仿宋" w:hAnsi="仿宋" w:eastAsia="仿宋" w:cs="仿宋"/>
          <w:color w:val="auto"/>
        </w:rPr>
        <w:t>通知书、</w:t>
      </w:r>
      <w:r>
        <w:rPr>
          <w:rFonts w:hint="eastAsia" w:ascii="仿宋" w:hAnsi="仿宋" w:eastAsia="仿宋" w:cs="仿宋"/>
          <w:color w:val="auto"/>
          <w:lang w:eastAsia="zh-CN"/>
        </w:rPr>
        <w:t>谈判响应文件</w:t>
      </w:r>
      <w:r>
        <w:rPr>
          <w:rFonts w:hint="eastAsia" w:ascii="仿宋" w:hAnsi="仿宋" w:eastAsia="仿宋" w:cs="仿宋"/>
          <w:color w:val="auto"/>
        </w:rPr>
        <w:t>、</w:t>
      </w:r>
      <w:r>
        <w:rPr>
          <w:rFonts w:hint="eastAsia" w:ascii="仿宋" w:hAnsi="仿宋" w:eastAsia="仿宋" w:cs="仿宋"/>
          <w:color w:val="auto"/>
          <w:lang w:eastAsia="zh-CN"/>
        </w:rPr>
        <w:t>竞争性谈判文件</w:t>
      </w:r>
      <w:r>
        <w:rPr>
          <w:rFonts w:hint="eastAsia" w:ascii="仿宋" w:hAnsi="仿宋" w:eastAsia="仿宋" w:cs="仿宋"/>
          <w:color w:val="auto"/>
        </w:rPr>
        <w:t>、澄清、招标补充文件（或委托书）；</w:t>
      </w:r>
    </w:p>
    <w:p w14:paraId="3E662572">
      <w:pPr>
        <w:adjustRightInd w:val="0"/>
        <w:snapToGrid w:val="0"/>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 相关服务建议书；</w:t>
      </w:r>
    </w:p>
    <w:p w14:paraId="505E7148">
      <w:pPr>
        <w:adjustRightInd w:val="0"/>
        <w:snapToGrid w:val="0"/>
        <w:spacing w:line="360" w:lineRule="auto"/>
        <w:rPr>
          <w:rFonts w:hint="eastAsia" w:ascii="仿宋" w:hAnsi="仿宋" w:eastAsia="仿宋" w:cs="仿宋"/>
          <w:color w:val="auto"/>
        </w:rPr>
      </w:pPr>
      <w:r>
        <w:rPr>
          <w:rFonts w:hint="eastAsia" w:ascii="仿宋" w:hAnsi="仿宋" w:eastAsia="仿宋" w:cs="仿宋"/>
          <w:color w:val="auto"/>
        </w:rPr>
        <w:t xml:space="preserve">    4. 附录，即：附表内相关服务的范围和内容；</w:t>
      </w:r>
    </w:p>
    <w:p w14:paraId="286E21CA">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2059B53D">
      <w:pPr>
        <w:spacing w:line="360" w:lineRule="auto"/>
        <w:rPr>
          <w:rFonts w:hint="eastAsia" w:ascii="仿宋" w:hAnsi="仿宋" w:eastAsia="仿宋" w:cs="仿宋"/>
          <w:b/>
          <w:color w:val="auto"/>
        </w:rPr>
      </w:pPr>
      <w:r>
        <w:rPr>
          <w:rFonts w:hint="eastAsia" w:ascii="仿宋" w:hAnsi="仿宋" w:eastAsia="仿宋" w:cs="仿宋"/>
          <w:b/>
          <w:color w:val="auto"/>
        </w:rPr>
        <w:t>三、合同价款</w:t>
      </w:r>
    </w:p>
    <w:p w14:paraId="217B8B6C">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1.合同金额（大写）：</w:t>
      </w:r>
      <w:r>
        <w:rPr>
          <w:rFonts w:hint="eastAsia" w:ascii="仿宋" w:hAnsi="仿宋" w:eastAsia="仿宋" w:cs="仿宋"/>
          <w:color w:val="auto"/>
          <w:u w:val="single"/>
        </w:rPr>
        <w:t xml:space="preserve">                            </w:t>
      </w:r>
      <w:r>
        <w:rPr>
          <w:rFonts w:hint="eastAsia" w:ascii="仿宋" w:hAnsi="仿宋" w:eastAsia="仿宋" w:cs="仿宋"/>
          <w:color w:val="auto"/>
        </w:rPr>
        <w:t>（</w:t>
      </w:r>
      <w:r>
        <w:rPr>
          <w:rFonts w:hint="eastAsia" w:ascii="仿宋" w:hAnsi="仿宋" w:eastAsia="仿宋" w:cs="仿宋"/>
          <w:color w:val="auto"/>
          <w:lang w:val="en-US" w:eastAsia="zh-CN"/>
        </w:rPr>
        <w:t>¥</w:t>
      </w:r>
      <w:r>
        <w:rPr>
          <w:rFonts w:hint="eastAsia" w:ascii="仿宋" w:hAnsi="仿宋" w:eastAsia="仿宋" w:cs="仿宋"/>
          <w:color w:val="auto"/>
        </w:rPr>
        <w:t xml:space="preserve">      元）。</w:t>
      </w:r>
    </w:p>
    <w:p w14:paraId="08124017">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rPr>
        <w:t>2.</w:t>
      </w:r>
      <w:r>
        <w:rPr>
          <w:rFonts w:hint="eastAsia" w:ascii="仿宋" w:hAnsi="仿宋" w:eastAsia="仿宋" w:cs="仿宋"/>
          <w:color w:val="auto"/>
          <w:szCs w:val="24"/>
        </w:rPr>
        <w:t>合同总价即</w:t>
      </w:r>
      <w:r>
        <w:rPr>
          <w:rFonts w:hint="eastAsia" w:ascii="仿宋" w:hAnsi="仿宋" w:eastAsia="仿宋" w:cs="仿宋"/>
          <w:color w:val="auto"/>
          <w:szCs w:val="24"/>
          <w:lang w:eastAsia="zh-CN"/>
        </w:rPr>
        <w:t>成交</w:t>
      </w:r>
      <w:r>
        <w:rPr>
          <w:rFonts w:hint="eastAsia" w:ascii="仿宋" w:hAnsi="仿宋" w:eastAsia="仿宋" w:cs="仿宋"/>
          <w:color w:val="auto"/>
          <w:szCs w:val="24"/>
        </w:rPr>
        <w:t>价，不受市场价变化或实际工作量变化的影响。</w:t>
      </w:r>
    </w:p>
    <w:p w14:paraId="2018B558">
      <w:pPr>
        <w:keepNext w:val="0"/>
        <w:keepLines w:val="0"/>
        <w:pageBreakBefore w:val="0"/>
        <w:widowControl w:val="0"/>
        <w:kinsoku/>
        <w:wordWrap/>
        <w:overflowPunct/>
        <w:topLinePunct w:val="0"/>
        <w:autoSpaceDE/>
        <w:autoSpaceDN/>
        <w:bidi w:val="0"/>
        <w:adjustRightInd/>
        <w:snapToGrid/>
        <w:spacing w:line="520" w:lineRule="exact"/>
        <w:ind w:left="0" w:firstLine="480" w:firstLineChars="200"/>
        <w:textAlignment w:val="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明 细</w:t>
      </w:r>
    </w:p>
    <w:tbl>
      <w:tblPr>
        <w:tblStyle w:val="10"/>
        <w:tblW w:w="10026" w:type="dxa"/>
        <w:tblInd w:w="-6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336"/>
        <w:gridCol w:w="1541"/>
        <w:gridCol w:w="1203"/>
        <w:gridCol w:w="993"/>
        <w:gridCol w:w="763"/>
        <w:gridCol w:w="1223"/>
        <w:gridCol w:w="1191"/>
        <w:gridCol w:w="1241"/>
      </w:tblGrid>
      <w:tr w14:paraId="6752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35" w:type="dxa"/>
            <w:noWrap w:val="0"/>
            <w:vAlign w:val="top"/>
          </w:tcPr>
          <w:p w14:paraId="42EF2E99">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序号</w:t>
            </w:r>
          </w:p>
        </w:tc>
        <w:tc>
          <w:tcPr>
            <w:tcW w:w="1336" w:type="dxa"/>
            <w:noWrap w:val="0"/>
            <w:vAlign w:val="top"/>
          </w:tcPr>
          <w:p w14:paraId="67E5BF99">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货物名称</w:t>
            </w:r>
          </w:p>
        </w:tc>
        <w:tc>
          <w:tcPr>
            <w:tcW w:w="1541" w:type="dxa"/>
            <w:noWrap w:val="0"/>
            <w:vAlign w:val="top"/>
          </w:tcPr>
          <w:p w14:paraId="2CDBFC7C">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规格型号</w:t>
            </w:r>
          </w:p>
        </w:tc>
        <w:tc>
          <w:tcPr>
            <w:tcW w:w="1203" w:type="dxa"/>
            <w:noWrap w:val="0"/>
            <w:vAlign w:val="top"/>
          </w:tcPr>
          <w:p w14:paraId="520BA4DE">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生产厂家</w:t>
            </w:r>
          </w:p>
        </w:tc>
        <w:tc>
          <w:tcPr>
            <w:tcW w:w="993" w:type="dxa"/>
            <w:noWrap w:val="0"/>
            <w:vAlign w:val="top"/>
          </w:tcPr>
          <w:p w14:paraId="06B0ABA3">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单位</w:t>
            </w:r>
          </w:p>
        </w:tc>
        <w:tc>
          <w:tcPr>
            <w:tcW w:w="763" w:type="dxa"/>
            <w:noWrap w:val="0"/>
            <w:vAlign w:val="top"/>
          </w:tcPr>
          <w:p w14:paraId="6EE1C4A4">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数量</w:t>
            </w:r>
          </w:p>
        </w:tc>
        <w:tc>
          <w:tcPr>
            <w:tcW w:w="1223" w:type="dxa"/>
            <w:noWrap w:val="0"/>
            <w:vAlign w:val="top"/>
          </w:tcPr>
          <w:p w14:paraId="16704468">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质保年限</w:t>
            </w:r>
          </w:p>
        </w:tc>
        <w:tc>
          <w:tcPr>
            <w:tcW w:w="1191" w:type="dxa"/>
            <w:noWrap w:val="0"/>
            <w:vAlign w:val="top"/>
          </w:tcPr>
          <w:p w14:paraId="08B87DC0">
            <w:pPr>
              <w:spacing w:line="520" w:lineRule="exact"/>
              <w:rPr>
                <w:rFonts w:hint="eastAsia" w:ascii="仿宋" w:hAnsi="仿宋" w:eastAsia="仿宋" w:cs="仿宋"/>
                <w:color w:val="auto"/>
                <w:szCs w:val="24"/>
                <w:highlight w:val="none"/>
                <w:vertAlign w:val="baseline"/>
              </w:rPr>
            </w:pPr>
            <w:r>
              <w:rPr>
                <w:rFonts w:hint="eastAsia" w:ascii="仿宋" w:hAnsi="仿宋" w:eastAsia="仿宋" w:cs="仿宋"/>
                <w:color w:val="auto"/>
                <w:szCs w:val="24"/>
                <w:highlight w:val="none"/>
                <w:vertAlign w:val="baseline"/>
                <w:lang w:val="en-US" w:eastAsia="zh-CN"/>
              </w:rPr>
              <w:t>单价（元）</w:t>
            </w:r>
          </w:p>
        </w:tc>
        <w:tc>
          <w:tcPr>
            <w:tcW w:w="1241" w:type="dxa"/>
            <w:noWrap w:val="0"/>
            <w:vAlign w:val="top"/>
          </w:tcPr>
          <w:p w14:paraId="43BAF793">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金额（元）</w:t>
            </w:r>
          </w:p>
        </w:tc>
      </w:tr>
      <w:tr w14:paraId="5072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535" w:type="dxa"/>
            <w:noWrap w:val="0"/>
            <w:vAlign w:val="top"/>
          </w:tcPr>
          <w:p w14:paraId="203F8D5C">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1</w:t>
            </w:r>
          </w:p>
        </w:tc>
        <w:tc>
          <w:tcPr>
            <w:tcW w:w="1336" w:type="dxa"/>
            <w:noWrap w:val="0"/>
            <w:vAlign w:val="top"/>
          </w:tcPr>
          <w:p w14:paraId="2CE4ADFE">
            <w:pPr>
              <w:spacing w:line="520" w:lineRule="exact"/>
              <w:rPr>
                <w:rFonts w:hint="eastAsia" w:ascii="仿宋" w:hAnsi="仿宋" w:eastAsia="仿宋" w:cs="仿宋"/>
                <w:color w:val="auto"/>
                <w:szCs w:val="24"/>
                <w:highlight w:val="none"/>
                <w:vertAlign w:val="baseline"/>
              </w:rPr>
            </w:pPr>
          </w:p>
        </w:tc>
        <w:tc>
          <w:tcPr>
            <w:tcW w:w="1541" w:type="dxa"/>
            <w:noWrap w:val="0"/>
            <w:vAlign w:val="top"/>
          </w:tcPr>
          <w:p w14:paraId="246652F0">
            <w:pPr>
              <w:spacing w:line="520" w:lineRule="exact"/>
              <w:rPr>
                <w:rFonts w:hint="eastAsia" w:ascii="仿宋" w:hAnsi="仿宋" w:eastAsia="仿宋" w:cs="仿宋"/>
                <w:color w:val="auto"/>
                <w:szCs w:val="24"/>
                <w:highlight w:val="none"/>
                <w:vertAlign w:val="baseline"/>
              </w:rPr>
            </w:pPr>
          </w:p>
        </w:tc>
        <w:tc>
          <w:tcPr>
            <w:tcW w:w="1203" w:type="dxa"/>
            <w:noWrap w:val="0"/>
            <w:vAlign w:val="top"/>
          </w:tcPr>
          <w:p w14:paraId="4DB41CE9">
            <w:pPr>
              <w:spacing w:line="520" w:lineRule="exact"/>
              <w:rPr>
                <w:rFonts w:hint="eastAsia" w:ascii="仿宋" w:hAnsi="仿宋" w:eastAsia="仿宋" w:cs="仿宋"/>
                <w:color w:val="auto"/>
                <w:szCs w:val="24"/>
                <w:highlight w:val="none"/>
                <w:vertAlign w:val="baseline"/>
              </w:rPr>
            </w:pPr>
          </w:p>
        </w:tc>
        <w:tc>
          <w:tcPr>
            <w:tcW w:w="993" w:type="dxa"/>
            <w:noWrap w:val="0"/>
            <w:vAlign w:val="top"/>
          </w:tcPr>
          <w:p w14:paraId="2A93CECC">
            <w:pPr>
              <w:spacing w:line="520" w:lineRule="exact"/>
              <w:rPr>
                <w:rFonts w:hint="eastAsia" w:ascii="仿宋" w:hAnsi="仿宋" w:eastAsia="仿宋" w:cs="仿宋"/>
                <w:color w:val="auto"/>
                <w:szCs w:val="24"/>
                <w:highlight w:val="none"/>
                <w:vertAlign w:val="baseline"/>
              </w:rPr>
            </w:pPr>
          </w:p>
        </w:tc>
        <w:tc>
          <w:tcPr>
            <w:tcW w:w="763" w:type="dxa"/>
            <w:noWrap w:val="0"/>
            <w:vAlign w:val="top"/>
          </w:tcPr>
          <w:p w14:paraId="086646CF">
            <w:pPr>
              <w:spacing w:line="520" w:lineRule="exact"/>
              <w:rPr>
                <w:rFonts w:hint="eastAsia" w:ascii="仿宋" w:hAnsi="仿宋" w:eastAsia="仿宋" w:cs="仿宋"/>
                <w:color w:val="auto"/>
                <w:szCs w:val="24"/>
                <w:highlight w:val="none"/>
                <w:vertAlign w:val="baseline"/>
              </w:rPr>
            </w:pPr>
          </w:p>
        </w:tc>
        <w:tc>
          <w:tcPr>
            <w:tcW w:w="1223" w:type="dxa"/>
            <w:noWrap w:val="0"/>
            <w:vAlign w:val="top"/>
          </w:tcPr>
          <w:p w14:paraId="7616DED9">
            <w:pPr>
              <w:spacing w:line="520" w:lineRule="exact"/>
              <w:rPr>
                <w:rFonts w:hint="eastAsia" w:ascii="仿宋" w:hAnsi="仿宋" w:eastAsia="仿宋" w:cs="仿宋"/>
                <w:color w:val="auto"/>
                <w:szCs w:val="24"/>
                <w:highlight w:val="none"/>
                <w:vertAlign w:val="baseline"/>
              </w:rPr>
            </w:pPr>
          </w:p>
        </w:tc>
        <w:tc>
          <w:tcPr>
            <w:tcW w:w="1191" w:type="dxa"/>
            <w:noWrap w:val="0"/>
            <w:vAlign w:val="top"/>
          </w:tcPr>
          <w:p w14:paraId="3B4BEB9D">
            <w:pPr>
              <w:spacing w:line="520" w:lineRule="exact"/>
              <w:rPr>
                <w:rFonts w:hint="eastAsia" w:ascii="仿宋" w:hAnsi="仿宋" w:eastAsia="仿宋" w:cs="仿宋"/>
                <w:color w:val="auto"/>
                <w:szCs w:val="24"/>
                <w:highlight w:val="none"/>
                <w:vertAlign w:val="baseline"/>
              </w:rPr>
            </w:pPr>
          </w:p>
        </w:tc>
        <w:tc>
          <w:tcPr>
            <w:tcW w:w="1241" w:type="dxa"/>
            <w:noWrap w:val="0"/>
            <w:vAlign w:val="top"/>
          </w:tcPr>
          <w:p w14:paraId="53949855">
            <w:pPr>
              <w:spacing w:line="520" w:lineRule="exact"/>
              <w:rPr>
                <w:rFonts w:hint="eastAsia" w:ascii="仿宋" w:hAnsi="仿宋" w:eastAsia="仿宋" w:cs="仿宋"/>
                <w:color w:val="auto"/>
                <w:szCs w:val="24"/>
                <w:highlight w:val="none"/>
                <w:vertAlign w:val="baseline"/>
              </w:rPr>
            </w:pPr>
          </w:p>
        </w:tc>
      </w:tr>
      <w:tr w14:paraId="54E5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535" w:type="dxa"/>
            <w:noWrap w:val="0"/>
            <w:vAlign w:val="top"/>
          </w:tcPr>
          <w:p w14:paraId="3A50BC17">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2</w:t>
            </w:r>
          </w:p>
        </w:tc>
        <w:tc>
          <w:tcPr>
            <w:tcW w:w="1336" w:type="dxa"/>
            <w:noWrap w:val="0"/>
            <w:vAlign w:val="top"/>
          </w:tcPr>
          <w:p w14:paraId="7C576EF4">
            <w:pPr>
              <w:spacing w:line="520" w:lineRule="exact"/>
              <w:rPr>
                <w:rFonts w:hint="eastAsia" w:ascii="仿宋" w:hAnsi="仿宋" w:eastAsia="仿宋" w:cs="仿宋"/>
                <w:color w:val="auto"/>
                <w:szCs w:val="24"/>
                <w:highlight w:val="none"/>
                <w:vertAlign w:val="baseline"/>
              </w:rPr>
            </w:pPr>
          </w:p>
        </w:tc>
        <w:tc>
          <w:tcPr>
            <w:tcW w:w="1541" w:type="dxa"/>
            <w:noWrap w:val="0"/>
            <w:vAlign w:val="top"/>
          </w:tcPr>
          <w:p w14:paraId="26BC8AB9">
            <w:pPr>
              <w:spacing w:line="520" w:lineRule="exact"/>
              <w:rPr>
                <w:rFonts w:hint="eastAsia" w:ascii="仿宋" w:hAnsi="仿宋" w:eastAsia="仿宋" w:cs="仿宋"/>
                <w:color w:val="auto"/>
                <w:szCs w:val="24"/>
                <w:highlight w:val="none"/>
                <w:vertAlign w:val="baseline"/>
              </w:rPr>
            </w:pPr>
          </w:p>
        </w:tc>
        <w:tc>
          <w:tcPr>
            <w:tcW w:w="1203" w:type="dxa"/>
            <w:noWrap w:val="0"/>
            <w:vAlign w:val="top"/>
          </w:tcPr>
          <w:p w14:paraId="032D883C">
            <w:pPr>
              <w:spacing w:line="520" w:lineRule="exact"/>
              <w:rPr>
                <w:rFonts w:hint="eastAsia" w:ascii="仿宋" w:hAnsi="仿宋" w:eastAsia="仿宋" w:cs="仿宋"/>
                <w:color w:val="auto"/>
                <w:szCs w:val="24"/>
                <w:highlight w:val="none"/>
                <w:vertAlign w:val="baseline"/>
              </w:rPr>
            </w:pPr>
          </w:p>
        </w:tc>
        <w:tc>
          <w:tcPr>
            <w:tcW w:w="993" w:type="dxa"/>
            <w:noWrap w:val="0"/>
            <w:vAlign w:val="top"/>
          </w:tcPr>
          <w:p w14:paraId="515A776C">
            <w:pPr>
              <w:spacing w:line="520" w:lineRule="exact"/>
              <w:rPr>
                <w:rFonts w:hint="eastAsia" w:ascii="仿宋" w:hAnsi="仿宋" w:eastAsia="仿宋" w:cs="仿宋"/>
                <w:color w:val="auto"/>
                <w:szCs w:val="24"/>
                <w:highlight w:val="none"/>
                <w:vertAlign w:val="baseline"/>
              </w:rPr>
            </w:pPr>
          </w:p>
        </w:tc>
        <w:tc>
          <w:tcPr>
            <w:tcW w:w="763" w:type="dxa"/>
            <w:noWrap w:val="0"/>
            <w:vAlign w:val="top"/>
          </w:tcPr>
          <w:p w14:paraId="54BACAEF">
            <w:pPr>
              <w:spacing w:line="520" w:lineRule="exact"/>
              <w:rPr>
                <w:rFonts w:hint="eastAsia" w:ascii="仿宋" w:hAnsi="仿宋" w:eastAsia="仿宋" w:cs="仿宋"/>
                <w:color w:val="auto"/>
                <w:szCs w:val="24"/>
                <w:highlight w:val="none"/>
                <w:vertAlign w:val="baseline"/>
              </w:rPr>
            </w:pPr>
          </w:p>
        </w:tc>
        <w:tc>
          <w:tcPr>
            <w:tcW w:w="1223" w:type="dxa"/>
            <w:noWrap w:val="0"/>
            <w:vAlign w:val="top"/>
          </w:tcPr>
          <w:p w14:paraId="0EDC522B">
            <w:pPr>
              <w:spacing w:line="520" w:lineRule="exact"/>
              <w:rPr>
                <w:rFonts w:hint="eastAsia" w:ascii="仿宋" w:hAnsi="仿宋" w:eastAsia="仿宋" w:cs="仿宋"/>
                <w:color w:val="auto"/>
                <w:szCs w:val="24"/>
                <w:highlight w:val="none"/>
                <w:vertAlign w:val="baseline"/>
              </w:rPr>
            </w:pPr>
          </w:p>
        </w:tc>
        <w:tc>
          <w:tcPr>
            <w:tcW w:w="1191" w:type="dxa"/>
            <w:noWrap w:val="0"/>
            <w:vAlign w:val="top"/>
          </w:tcPr>
          <w:p w14:paraId="68F67390">
            <w:pPr>
              <w:spacing w:line="520" w:lineRule="exact"/>
              <w:rPr>
                <w:rFonts w:hint="eastAsia" w:ascii="仿宋" w:hAnsi="仿宋" w:eastAsia="仿宋" w:cs="仿宋"/>
                <w:color w:val="auto"/>
                <w:szCs w:val="24"/>
                <w:highlight w:val="none"/>
                <w:vertAlign w:val="baseline"/>
              </w:rPr>
            </w:pPr>
          </w:p>
        </w:tc>
        <w:tc>
          <w:tcPr>
            <w:tcW w:w="1241" w:type="dxa"/>
            <w:noWrap w:val="0"/>
            <w:vAlign w:val="top"/>
          </w:tcPr>
          <w:p w14:paraId="56997A96">
            <w:pPr>
              <w:spacing w:line="520" w:lineRule="exact"/>
              <w:rPr>
                <w:rFonts w:hint="eastAsia" w:ascii="仿宋" w:hAnsi="仿宋" w:eastAsia="仿宋" w:cs="仿宋"/>
                <w:color w:val="auto"/>
                <w:szCs w:val="24"/>
                <w:highlight w:val="none"/>
                <w:vertAlign w:val="baseline"/>
              </w:rPr>
            </w:pPr>
          </w:p>
        </w:tc>
      </w:tr>
      <w:tr w14:paraId="5C73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535" w:type="dxa"/>
            <w:noWrap w:val="0"/>
            <w:vAlign w:val="top"/>
          </w:tcPr>
          <w:p w14:paraId="1D826FB2">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3</w:t>
            </w:r>
          </w:p>
        </w:tc>
        <w:tc>
          <w:tcPr>
            <w:tcW w:w="1336" w:type="dxa"/>
            <w:noWrap w:val="0"/>
            <w:vAlign w:val="top"/>
          </w:tcPr>
          <w:p w14:paraId="33684B21">
            <w:pPr>
              <w:spacing w:line="520" w:lineRule="exact"/>
              <w:rPr>
                <w:rFonts w:hint="eastAsia" w:ascii="仿宋" w:hAnsi="仿宋" w:eastAsia="仿宋" w:cs="仿宋"/>
                <w:color w:val="auto"/>
                <w:szCs w:val="24"/>
                <w:highlight w:val="none"/>
                <w:vertAlign w:val="baseline"/>
              </w:rPr>
            </w:pPr>
          </w:p>
        </w:tc>
        <w:tc>
          <w:tcPr>
            <w:tcW w:w="1541" w:type="dxa"/>
            <w:noWrap w:val="0"/>
            <w:vAlign w:val="top"/>
          </w:tcPr>
          <w:p w14:paraId="7238FB16">
            <w:pPr>
              <w:spacing w:line="520" w:lineRule="exact"/>
              <w:rPr>
                <w:rFonts w:hint="eastAsia" w:ascii="仿宋" w:hAnsi="仿宋" w:eastAsia="仿宋" w:cs="仿宋"/>
                <w:color w:val="auto"/>
                <w:szCs w:val="24"/>
                <w:highlight w:val="none"/>
                <w:vertAlign w:val="baseline"/>
              </w:rPr>
            </w:pPr>
          </w:p>
        </w:tc>
        <w:tc>
          <w:tcPr>
            <w:tcW w:w="1203" w:type="dxa"/>
            <w:noWrap w:val="0"/>
            <w:vAlign w:val="top"/>
          </w:tcPr>
          <w:p w14:paraId="1F1994B3">
            <w:pPr>
              <w:spacing w:line="520" w:lineRule="exact"/>
              <w:rPr>
                <w:rFonts w:hint="eastAsia" w:ascii="仿宋" w:hAnsi="仿宋" w:eastAsia="仿宋" w:cs="仿宋"/>
                <w:color w:val="auto"/>
                <w:szCs w:val="24"/>
                <w:highlight w:val="none"/>
                <w:vertAlign w:val="baseline"/>
              </w:rPr>
            </w:pPr>
          </w:p>
        </w:tc>
        <w:tc>
          <w:tcPr>
            <w:tcW w:w="993" w:type="dxa"/>
            <w:noWrap w:val="0"/>
            <w:vAlign w:val="top"/>
          </w:tcPr>
          <w:p w14:paraId="7675E0B5">
            <w:pPr>
              <w:spacing w:line="520" w:lineRule="exact"/>
              <w:rPr>
                <w:rFonts w:hint="eastAsia" w:ascii="仿宋" w:hAnsi="仿宋" w:eastAsia="仿宋" w:cs="仿宋"/>
                <w:color w:val="auto"/>
                <w:szCs w:val="24"/>
                <w:highlight w:val="none"/>
                <w:vertAlign w:val="baseline"/>
              </w:rPr>
            </w:pPr>
          </w:p>
        </w:tc>
        <w:tc>
          <w:tcPr>
            <w:tcW w:w="763" w:type="dxa"/>
            <w:noWrap w:val="0"/>
            <w:vAlign w:val="top"/>
          </w:tcPr>
          <w:p w14:paraId="650DCF70">
            <w:pPr>
              <w:spacing w:line="520" w:lineRule="exact"/>
              <w:rPr>
                <w:rFonts w:hint="eastAsia" w:ascii="仿宋" w:hAnsi="仿宋" w:eastAsia="仿宋" w:cs="仿宋"/>
                <w:color w:val="auto"/>
                <w:szCs w:val="24"/>
                <w:highlight w:val="none"/>
                <w:vertAlign w:val="baseline"/>
              </w:rPr>
            </w:pPr>
          </w:p>
        </w:tc>
        <w:tc>
          <w:tcPr>
            <w:tcW w:w="1223" w:type="dxa"/>
            <w:noWrap w:val="0"/>
            <w:vAlign w:val="top"/>
          </w:tcPr>
          <w:p w14:paraId="1D1B19FD">
            <w:pPr>
              <w:spacing w:line="520" w:lineRule="exact"/>
              <w:rPr>
                <w:rFonts w:hint="eastAsia" w:ascii="仿宋" w:hAnsi="仿宋" w:eastAsia="仿宋" w:cs="仿宋"/>
                <w:color w:val="auto"/>
                <w:szCs w:val="24"/>
                <w:highlight w:val="none"/>
                <w:vertAlign w:val="baseline"/>
              </w:rPr>
            </w:pPr>
          </w:p>
        </w:tc>
        <w:tc>
          <w:tcPr>
            <w:tcW w:w="1191" w:type="dxa"/>
            <w:noWrap w:val="0"/>
            <w:vAlign w:val="top"/>
          </w:tcPr>
          <w:p w14:paraId="122DE53E">
            <w:pPr>
              <w:spacing w:line="520" w:lineRule="exact"/>
              <w:rPr>
                <w:rFonts w:hint="eastAsia" w:ascii="仿宋" w:hAnsi="仿宋" w:eastAsia="仿宋" w:cs="仿宋"/>
                <w:color w:val="auto"/>
                <w:szCs w:val="24"/>
                <w:highlight w:val="none"/>
                <w:vertAlign w:val="baseline"/>
              </w:rPr>
            </w:pPr>
          </w:p>
        </w:tc>
        <w:tc>
          <w:tcPr>
            <w:tcW w:w="1241" w:type="dxa"/>
            <w:noWrap w:val="0"/>
            <w:vAlign w:val="top"/>
          </w:tcPr>
          <w:p w14:paraId="206EBC71">
            <w:pPr>
              <w:spacing w:line="520" w:lineRule="exact"/>
              <w:rPr>
                <w:rFonts w:hint="eastAsia" w:ascii="仿宋" w:hAnsi="仿宋" w:eastAsia="仿宋" w:cs="仿宋"/>
                <w:color w:val="auto"/>
                <w:szCs w:val="24"/>
                <w:highlight w:val="none"/>
                <w:vertAlign w:val="baseline"/>
              </w:rPr>
            </w:pPr>
          </w:p>
        </w:tc>
      </w:tr>
      <w:tr w14:paraId="6412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026" w:type="dxa"/>
            <w:gridSpan w:val="9"/>
            <w:noWrap w:val="0"/>
            <w:vAlign w:val="top"/>
          </w:tcPr>
          <w:p w14:paraId="4058103E">
            <w:pPr>
              <w:spacing w:line="520" w:lineRule="exact"/>
              <w:rPr>
                <w:rFonts w:hint="eastAsia" w:ascii="仿宋" w:hAnsi="仿宋" w:eastAsia="仿宋" w:cs="仿宋"/>
                <w:color w:val="auto"/>
                <w:szCs w:val="24"/>
                <w:highlight w:val="none"/>
                <w:vertAlign w:val="baseline"/>
                <w:lang w:val="en-US" w:eastAsia="zh-CN"/>
              </w:rPr>
            </w:pPr>
            <w:r>
              <w:rPr>
                <w:rFonts w:hint="eastAsia" w:ascii="仿宋" w:hAnsi="仿宋" w:eastAsia="仿宋" w:cs="仿宋"/>
                <w:color w:val="auto"/>
                <w:szCs w:val="24"/>
                <w:highlight w:val="none"/>
                <w:vertAlign w:val="baseline"/>
                <w:lang w:val="en-US" w:eastAsia="zh-CN"/>
              </w:rPr>
              <w:t>人民币合计金额（大写）：                      （小写）</w:t>
            </w:r>
          </w:p>
        </w:tc>
      </w:tr>
    </w:tbl>
    <w:p w14:paraId="53C9AED0">
      <w:pPr>
        <w:adjustRightInd w:val="0"/>
        <w:snapToGrid w:val="0"/>
        <w:spacing w:line="360" w:lineRule="auto"/>
        <w:ind w:firstLine="475" w:firstLineChars="198"/>
        <w:rPr>
          <w:rFonts w:hint="eastAsia" w:ascii="仿宋" w:hAnsi="仿宋" w:eastAsia="仿宋" w:cs="仿宋"/>
          <w:color w:val="auto"/>
          <w:szCs w:val="24"/>
        </w:rPr>
      </w:pPr>
    </w:p>
    <w:p w14:paraId="6EB0F57C">
      <w:pPr>
        <w:adjustRightInd w:val="0"/>
        <w:snapToGrid w:val="0"/>
        <w:spacing w:line="360" w:lineRule="auto"/>
        <w:rPr>
          <w:rFonts w:hint="eastAsia" w:ascii="仿宋" w:hAnsi="仿宋" w:eastAsia="仿宋" w:cs="仿宋"/>
          <w:b/>
          <w:color w:val="auto"/>
          <w:szCs w:val="24"/>
        </w:rPr>
      </w:pPr>
      <w:r>
        <w:rPr>
          <w:rFonts w:hint="eastAsia" w:ascii="仿宋" w:hAnsi="仿宋" w:eastAsia="仿宋" w:cs="仿宋"/>
          <w:b/>
          <w:color w:val="auto"/>
          <w:szCs w:val="24"/>
        </w:rPr>
        <w:t>四、项目实施地点、</w:t>
      </w:r>
      <w:r>
        <w:rPr>
          <w:rFonts w:hint="eastAsia" w:ascii="仿宋" w:hAnsi="仿宋" w:eastAsia="仿宋" w:cs="仿宋"/>
          <w:b/>
          <w:color w:val="auto"/>
          <w:szCs w:val="24"/>
          <w:lang w:val="en-US" w:eastAsia="zh-CN"/>
        </w:rPr>
        <w:t>交货期</w:t>
      </w:r>
      <w:r>
        <w:rPr>
          <w:rFonts w:hint="eastAsia" w:ascii="仿宋" w:hAnsi="仿宋" w:eastAsia="仿宋" w:cs="仿宋"/>
          <w:b/>
          <w:color w:val="auto"/>
          <w:szCs w:val="24"/>
        </w:rPr>
        <w:t>：</w:t>
      </w:r>
    </w:p>
    <w:p w14:paraId="05FAF8DC">
      <w:pPr>
        <w:adjustRightInd w:val="0"/>
        <w:snapToGrid w:val="0"/>
        <w:spacing w:line="360" w:lineRule="auto"/>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项目实施地点：采购人指定地点；</w:t>
      </w:r>
    </w:p>
    <w:p w14:paraId="54CC89D7">
      <w:pPr>
        <w:adjustRightInd w:val="0"/>
        <w:snapToGrid w:val="0"/>
        <w:spacing w:line="360" w:lineRule="auto"/>
        <w:rPr>
          <w:rFonts w:hint="eastAsia" w:ascii="仿宋" w:hAnsi="仿宋" w:eastAsia="仿宋" w:cs="仿宋"/>
          <w:b w:val="0"/>
          <w:bCs/>
          <w:color w:val="auto"/>
          <w:sz w:val="21"/>
          <w:szCs w:val="21"/>
        </w:rPr>
      </w:pPr>
      <w:r>
        <w:rPr>
          <w:rFonts w:hint="eastAsia" w:ascii="仿宋" w:hAnsi="仿宋" w:eastAsia="仿宋" w:cs="仿宋"/>
          <w:b w:val="0"/>
          <w:bCs/>
          <w:color w:val="auto"/>
          <w:sz w:val="21"/>
          <w:szCs w:val="21"/>
        </w:rPr>
        <w:t>交货期：</w:t>
      </w:r>
      <w:r>
        <w:rPr>
          <w:rFonts w:hint="eastAsia" w:ascii="仿宋" w:hAnsi="仿宋" w:eastAsia="仿宋" w:cs="仿宋"/>
          <w:i w:val="0"/>
          <w:iCs w:val="0"/>
          <w:caps w:val="0"/>
          <w:color w:val="auto"/>
          <w:spacing w:val="0"/>
          <w:sz w:val="21"/>
          <w:szCs w:val="21"/>
          <w:shd w:val="clear" w:color="auto" w:fill="FFFFFF"/>
          <w:lang w:eastAsia="zh-CN"/>
        </w:rPr>
        <w:t>合同签订起</w:t>
      </w:r>
      <w:r>
        <w:rPr>
          <w:rFonts w:hint="eastAsia" w:ascii="仿宋" w:hAnsi="仿宋" w:eastAsia="仿宋" w:cs="仿宋"/>
          <w:i w:val="0"/>
          <w:iCs w:val="0"/>
          <w:caps w:val="0"/>
          <w:color w:val="auto"/>
          <w:spacing w:val="0"/>
          <w:sz w:val="21"/>
          <w:szCs w:val="21"/>
          <w:shd w:val="clear" w:color="auto" w:fill="FFFFFF"/>
          <w:lang w:val="en-US" w:eastAsia="zh-CN"/>
        </w:rPr>
        <w:t>30</w:t>
      </w:r>
      <w:r>
        <w:rPr>
          <w:rFonts w:hint="eastAsia" w:ascii="仿宋" w:hAnsi="仿宋" w:eastAsia="仿宋" w:cs="仿宋"/>
          <w:i w:val="0"/>
          <w:iCs w:val="0"/>
          <w:caps w:val="0"/>
          <w:color w:val="auto"/>
          <w:spacing w:val="0"/>
          <w:sz w:val="21"/>
          <w:szCs w:val="21"/>
          <w:shd w:val="clear" w:color="auto" w:fill="FFFFFF"/>
          <w:lang w:eastAsia="zh-CN"/>
        </w:rPr>
        <w:t>日历天</w:t>
      </w:r>
    </w:p>
    <w:p w14:paraId="30F2C8A1">
      <w:pPr>
        <w:numPr>
          <w:ilvl w:val="0"/>
          <w:numId w:val="1"/>
        </w:numPr>
        <w:adjustRightInd w:val="0"/>
        <w:snapToGrid w:val="0"/>
        <w:spacing w:line="360" w:lineRule="auto"/>
        <w:rPr>
          <w:rFonts w:hint="eastAsia" w:ascii="仿宋" w:hAnsi="仿宋" w:eastAsia="仿宋" w:cs="仿宋"/>
          <w:b/>
          <w:color w:val="auto"/>
          <w:szCs w:val="24"/>
        </w:rPr>
      </w:pPr>
      <w:r>
        <w:rPr>
          <w:rFonts w:hint="eastAsia" w:ascii="仿宋" w:hAnsi="仿宋" w:eastAsia="仿宋" w:cs="仿宋"/>
          <w:b/>
          <w:color w:val="auto"/>
          <w:szCs w:val="24"/>
        </w:rPr>
        <w:t>付款：</w:t>
      </w:r>
    </w:p>
    <w:p w14:paraId="60CE3762">
      <w:pPr>
        <w:spacing w:line="360" w:lineRule="auto"/>
        <w:rPr>
          <w:rFonts w:hint="eastAsia" w:ascii="仿宋" w:hAnsi="仿宋" w:eastAsia="仿宋" w:cs="仿宋"/>
          <w:b w:val="0"/>
          <w:bCs/>
          <w:color w:val="auto"/>
          <w:szCs w:val="24"/>
        </w:rPr>
      </w:pPr>
      <w:r>
        <w:rPr>
          <w:rFonts w:hint="eastAsia" w:ascii="仿宋" w:hAnsi="仿宋" w:eastAsia="仿宋" w:cs="仿宋"/>
          <w:b w:val="0"/>
          <w:bCs/>
          <w:color w:val="auto"/>
          <w:szCs w:val="24"/>
          <w:lang w:val="en-US" w:eastAsia="zh-CN"/>
        </w:rPr>
        <w:t>5.</w:t>
      </w:r>
      <w:r>
        <w:rPr>
          <w:rFonts w:hint="eastAsia" w:ascii="仿宋" w:hAnsi="仿宋" w:eastAsia="仿宋" w:cs="仿宋"/>
          <w:b w:val="0"/>
          <w:bCs/>
          <w:color w:val="auto"/>
          <w:szCs w:val="24"/>
        </w:rPr>
        <w:t>1.合同总价即成交价，不受市场价变化或实际工作量变化的影响。</w:t>
      </w:r>
    </w:p>
    <w:p w14:paraId="2E2B2D93">
      <w:pPr>
        <w:spacing w:line="360" w:lineRule="auto"/>
        <w:rPr>
          <w:rFonts w:hint="eastAsia" w:ascii="仿宋" w:hAnsi="仿宋" w:eastAsia="仿宋" w:cs="仿宋"/>
          <w:b w:val="0"/>
          <w:bCs/>
          <w:color w:val="auto"/>
          <w:szCs w:val="24"/>
        </w:rPr>
      </w:pPr>
      <w:r>
        <w:rPr>
          <w:rFonts w:hint="eastAsia" w:ascii="仿宋" w:hAnsi="仿宋" w:eastAsia="仿宋" w:cs="仿宋"/>
          <w:b w:val="0"/>
          <w:bCs/>
          <w:color w:val="auto"/>
          <w:szCs w:val="24"/>
          <w:lang w:val="en-US" w:eastAsia="zh-CN"/>
        </w:rPr>
        <w:t>5.</w:t>
      </w:r>
      <w:r>
        <w:rPr>
          <w:rFonts w:hint="eastAsia" w:ascii="仿宋" w:hAnsi="仿宋" w:eastAsia="仿宋" w:cs="仿宋"/>
          <w:b w:val="0"/>
          <w:bCs/>
          <w:color w:val="auto"/>
          <w:szCs w:val="24"/>
        </w:rPr>
        <w:t>2.付款方式和程序：</w:t>
      </w:r>
    </w:p>
    <w:p w14:paraId="4DEAD0CB">
      <w:pPr>
        <w:spacing w:line="360" w:lineRule="auto"/>
        <w:rPr>
          <w:rFonts w:hint="eastAsia" w:ascii="仿宋" w:hAnsi="仿宋" w:eastAsia="仿宋" w:cs="仿宋"/>
          <w:b w:val="0"/>
          <w:bCs/>
          <w:color w:val="auto"/>
          <w:szCs w:val="24"/>
        </w:rPr>
      </w:pPr>
      <w:r>
        <w:rPr>
          <w:rFonts w:hint="eastAsia" w:ascii="仿宋" w:hAnsi="仿宋" w:eastAsia="仿宋" w:cs="仿宋"/>
          <w:b w:val="0"/>
          <w:bCs/>
          <w:color w:val="auto"/>
          <w:szCs w:val="24"/>
          <w:lang w:val="en-US" w:eastAsia="zh-CN"/>
        </w:rPr>
        <w:t>5.</w:t>
      </w:r>
      <w:r>
        <w:rPr>
          <w:rFonts w:hint="eastAsia" w:ascii="仿宋" w:hAnsi="仿宋" w:eastAsia="仿宋" w:cs="仿宋"/>
          <w:b w:val="0"/>
          <w:bCs/>
          <w:color w:val="auto"/>
          <w:szCs w:val="24"/>
        </w:rPr>
        <w:t>2.1由采购人负责结算，在付款前，</w:t>
      </w:r>
      <w:r>
        <w:rPr>
          <w:rFonts w:hint="eastAsia" w:ascii="仿宋" w:hAnsi="仿宋" w:eastAsia="仿宋" w:cs="仿宋"/>
          <w:b w:val="0"/>
          <w:bCs/>
          <w:color w:val="auto"/>
          <w:szCs w:val="24"/>
          <w:lang w:eastAsia="zh-CN"/>
        </w:rPr>
        <w:t>供应商</w:t>
      </w:r>
      <w:r>
        <w:rPr>
          <w:rFonts w:hint="eastAsia" w:ascii="仿宋" w:hAnsi="仿宋" w:eastAsia="仿宋" w:cs="仿宋"/>
          <w:b w:val="0"/>
          <w:bCs/>
          <w:color w:val="auto"/>
          <w:szCs w:val="24"/>
        </w:rPr>
        <w:t xml:space="preserve">必须开具全额发票给采购人（附详细清单）。 </w:t>
      </w:r>
    </w:p>
    <w:p w14:paraId="2190F325">
      <w:pPr>
        <w:spacing w:line="520" w:lineRule="exact"/>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color w:val="auto"/>
          <w:szCs w:val="24"/>
          <w:lang w:val="en-US" w:eastAsia="zh-CN"/>
        </w:rPr>
        <w:t>5.</w:t>
      </w:r>
      <w:r>
        <w:rPr>
          <w:rFonts w:hint="eastAsia" w:ascii="仿宋" w:hAnsi="仿宋" w:eastAsia="仿宋" w:cs="仿宋"/>
          <w:b w:val="0"/>
          <w:bCs/>
          <w:color w:val="auto"/>
          <w:szCs w:val="24"/>
        </w:rPr>
        <w:t>2.2.付款方式：</w:t>
      </w:r>
      <w:r>
        <w:rPr>
          <w:rFonts w:hint="eastAsia" w:ascii="仿宋" w:hAnsi="仿宋" w:eastAsia="仿宋" w:cs="仿宋"/>
          <w:b w:val="0"/>
          <w:bCs w:val="0"/>
          <w:color w:val="auto"/>
          <w:sz w:val="24"/>
          <w:szCs w:val="24"/>
          <w:highlight w:val="none"/>
          <w:lang w:val="en-US" w:eastAsia="zh-CN"/>
        </w:rPr>
        <w:t xml:space="preserve">供货、安装调试及验收合格后 ，达到付款条件起 30 日内，支付合同总金额的 100.00%。 </w:t>
      </w:r>
    </w:p>
    <w:p w14:paraId="749B581E">
      <w:pPr>
        <w:spacing w:line="360" w:lineRule="auto"/>
        <w:rPr>
          <w:rFonts w:hint="eastAsia" w:ascii="仿宋" w:hAnsi="仿宋" w:eastAsia="仿宋" w:cs="仿宋"/>
          <w:b w:val="0"/>
          <w:bCs/>
          <w:color w:val="auto"/>
          <w:szCs w:val="24"/>
          <w:lang w:eastAsia="zh-CN"/>
        </w:rPr>
      </w:pPr>
      <w:r>
        <w:rPr>
          <w:rFonts w:hint="eastAsia" w:ascii="仿宋" w:hAnsi="仿宋" w:eastAsia="仿宋" w:cs="仿宋"/>
          <w:b w:val="0"/>
          <w:bCs/>
          <w:color w:val="auto"/>
          <w:szCs w:val="24"/>
          <w:lang w:val="en-US" w:eastAsia="zh-CN"/>
        </w:rPr>
        <w:t>5.2.3</w:t>
      </w:r>
      <w:r>
        <w:rPr>
          <w:rFonts w:hint="eastAsia" w:ascii="仿宋" w:hAnsi="仿宋" w:eastAsia="仿宋" w:cs="仿宋"/>
          <w:b w:val="0"/>
          <w:bCs/>
          <w:color w:val="auto"/>
          <w:szCs w:val="24"/>
        </w:rPr>
        <w:t>支付方式：银行转账</w:t>
      </w:r>
      <w:r>
        <w:rPr>
          <w:rFonts w:hint="eastAsia" w:ascii="仿宋" w:hAnsi="仿宋" w:eastAsia="仿宋" w:cs="仿宋"/>
          <w:b w:val="0"/>
          <w:bCs/>
          <w:color w:val="auto"/>
          <w:szCs w:val="24"/>
          <w:lang w:eastAsia="zh-CN"/>
        </w:rPr>
        <w:t>。</w:t>
      </w:r>
    </w:p>
    <w:p w14:paraId="6C94FBB6">
      <w:pPr>
        <w:spacing w:line="360" w:lineRule="auto"/>
        <w:rPr>
          <w:rFonts w:hint="eastAsia" w:ascii="仿宋" w:hAnsi="仿宋" w:eastAsia="仿宋" w:cs="仿宋"/>
          <w:b w:val="0"/>
          <w:bCs/>
          <w:color w:val="auto"/>
          <w:szCs w:val="24"/>
          <w:lang w:val="zh-CN"/>
        </w:rPr>
      </w:pPr>
      <w:r>
        <w:rPr>
          <w:rFonts w:hint="eastAsia" w:ascii="仿宋" w:hAnsi="仿宋" w:eastAsia="仿宋" w:cs="仿宋"/>
          <w:b w:val="0"/>
          <w:bCs/>
          <w:color w:val="auto"/>
          <w:szCs w:val="24"/>
        </w:rPr>
        <w:t>六、</w:t>
      </w:r>
      <w:r>
        <w:rPr>
          <w:rFonts w:hint="eastAsia" w:ascii="仿宋" w:hAnsi="仿宋" w:eastAsia="仿宋" w:cs="仿宋"/>
          <w:b w:val="0"/>
          <w:bCs/>
          <w:color w:val="auto"/>
          <w:szCs w:val="24"/>
          <w:lang w:val="zh-CN"/>
        </w:rPr>
        <w:t>质量验收标准或规范。</w:t>
      </w:r>
    </w:p>
    <w:p w14:paraId="02B39470">
      <w:pPr>
        <w:spacing w:line="360" w:lineRule="auto"/>
        <w:rPr>
          <w:rFonts w:hint="eastAsia" w:ascii="仿宋" w:hAnsi="仿宋" w:eastAsia="仿宋" w:cs="仿宋"/>
          <w:b w:val="0"/>
          <w:bCs/>
          <w:color w:val="auto"/>
          <w:szCs w:val="24"/>
          <w:lang w:val="en-US" w:eastAsia="zh-CN"/>
        </w:rPr>
      </w:pPr>
      <w:r>
        <w:rPr>
          <w:rFonts w:hint="eastAsia" w:ascii="仿宋" w:hAnsi="仿宋" w:eastAsia="仿宋" w:cs="仿宋"/>
          <w:b w:val="0"/>
          <w:bCs/>
          <w:color w:val="auto"/>
          <w:szCs w:val="24"/>
          <w:lang w:val="en-US" w:eastAsia="zh-CN"/>
        </w:rPr>
        <w:t>6.1</w:t>
      </w:r>
      <w:r>
        <w:rPr>
          <w:rFonts w:hint="eastAsia" w:ascii="仿宋" w:hAnsi="仿宋" w:eastAsia="仿宋" w:cs="仿宋"/>
          <w:color w:val="auto"/>
          <w:kern w:val="0"/>
          <w:sz w:val="24"/>
          <w:szCs w:val="24"/>
          <w:highlight w:val="none"/>
          <w:lang w:eastAsia="zh-CN"/>
        </w:rPr>
        <w:t>质量验收标准或规范达到国家现行有关验收规范 “合格”标准。</w:t>
      </w:r>
    </w:p>
    <w:p w14:paraId="735F364F">
      <w:pPr>
        <w:pStyle w:val="4"/>
        <w:tabs>
          <w:tab w:val="left" w:pos="152"/>
        </w:tabs>
        <w:spacing w:line="520" w:lineRule="exact"/>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val="0"/>
          <w:bCs/>
          <w:color w:val="auto"/>
          <w:szCs w:val="24"/>
          <w:lang w:val="en-US" w:eastAsia="zh-CN"/>
        </w:rPr>
        <w:t>6.2</w:t>
      </w:r>
      <w:r>
        <w:rPr>
          <w:rFonts w:hint="eastAsia" w:ascii="仿宋" w:hAnsi="仿宋" w:eastAsia="仿宋" w:cs="仿宋"/>
          <w:b/>
          <w:bCs/>
          <w:color w:val="auto"/>
          <w:kern w:val="0"/>
          <w:sz w:val="24"/>
          <w:szCs w:val="24"/>
          <w:highlight w:val="none"/>
          <w:lang w:val="en-US" w:eastAsia="zh-CN"/>
        </w:rPr>
        <w:t>质量要求：</w:t>
      </w:r>
    </w:p>
    <w:p w14:paraId="3755E12D">
      <w:pPr>
        <w:pStyle w:val="4"/>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保证所供产品的设计、制造、产品性能、材料的选择和材料的检验及产品的测试等，均应按国内外通行的现行标准相应的技术规范，以及质量、安全、环保标准和要求执行，这些标准和技术规范应为合同签订日为止最新公布发行的标准和技术规范，且全部要求为国产化产品。具体质量要求见技术指标要求。</w:t>
      </w:r>
    </w:p>
    <w:p w14:paraId="4FE78C10">
      <w:pPr>
        <w:pStyle w:val="4"/>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2.供应商保证所供产品进货渠道正规，无假货、水货或翻新货，并能按期交付。</w:t>
      </w:r>
    </w:p>
    <w:p w14:paraId="5C333419">
      <w:pPr>
        <w:pStyle w:val="4"/>
        <w:tabs>
          <w:tab w:val="left" w:pos="152"/>
        </w:tabs>
        <w:spacing w:line="5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3.供应商必须承诺所有设备相关软件均不得使用盗版和非法正版，若发生版权纠纷等问题，采购人概不承担任何责任，由供应商承担由此造成的一切后果。</w:t>
      </w:r>
    </w:p>
    <w:p w14:paraId="778EB092">
      <w:pPr>
        <w:spacing w:line="360" w:lineRule="auto"/>
        <w:rPr>
          <w:rFonts w:hint="eastAsia" w:ascii="仿宋" w:hAnsi="仿宋" w:eastAsia="仿宋" w:cs="仿宋"/>
          <w:b w:val="0"/>
          <w:bCs/>
          <w:color w:val="auto"/>
          <w:szCs w:val="24"/>
          <w:lang w:val="zh-CN"/>
        </w:rPr>
      </w:pPr>
      <w:r>
        <w:rPr>
          <w:rFonts w:hint="eastAsia" w:ascii="仿宋" w:hAnsi="仿宋" w:eastAsia="仿宋" w:cs="仿宋"/>
          <w:color w:val="auto"/>
          <w:kern w:val="0"/>
          <w:sz w:val="24"/>
          <w:szCs w:val="24"/>
          <w:highlight w:val="none"/>
          <w:lang w:val="en-US" w:eastAsia="zh-CN"/>
        </w:rPr>
        <w:t>4.保证所供产品在装卸、运输和仓储过程中有足够的包装保护，防止产品受潮、锈蚀、遭受冲撞及其他不可预见的损坏。</w:t>
      </w:r>
    </w:p>
    <w:p w14:paraId="0211E052">
      <w:pPr>
        <w:spacing w:line="360" w:lineRule="auto"/>
        <w:rPr>
          <w:rFonts w:hint="eastAsia" w:ascii="仿宋" w:hAnsi="仿宋" w:eastAsia="仿宋" w:cs="仿宋"/>
          <w:b w:val="0"/>
          <w:bCs/>
          <w:color w:val="auto"/>
          <w:szCs w:val="24"/>
          <w:lang w:val="zh-CN"/>
        </w:rPr>
      </w:pPr>
      <w:r>
        <w:rPr>
          <w:rFonts w:hint="eastAsia" w:ascii="仿宋" w:hAnsi="仿宋" w:eastAsia="仿宋" w:cs="仿宋"/>
          <w:b/>
          <w:bCs w:val="0"/>
          <w:color w:val="auto"/>
          <w:szCs w:val="24"/>
        </w:rPr>
        <w:t>七、</w:t>
      </w:r>
      <w:r>
        <w:rPr>
          <w:rFonts w:hint="eastAsia" w:ascii="仿宋" w:hAnsi="仿宋" w:eastAsia="仿宋" w:cs="仿宋"/>
          <w:b/>
          <w:bCs w:val="0"/>
          <w:color w:val="auto"/>
          <w:szCs w:val="24"/>
          <w:lang w:val="zh-CN"/>
        </w:rPr>
        <w:t>产品质保期：</w:t>
      </w:r>
      <w:r>
        <w:rPr>
          <w:rFonts w:hint="eastAsia" w:ascii="仿宋" w:hAnsi="仿宋" w:eastAsia="仿宋" w:cs="仿宋"/>
          <w:b w:val="0"/>
          <w:bCs/>
          <w:color w:val="auto"/>
          <w:szCs w:val="24"/>
          <w:lang w:val="en-US" w:eastAsia="zh-CN"/>
        </w:rPr>
        <w:t>3</w:t>
      </w:r>
      <w:r>
        <w:rPr>
          <w:rFonts w:hint="eastAsia" w:ascii="仿宋" w:hAnsi="仿宋" w:eastAsia="仿宋" w:cs="仿宋"/>
          <w:b w:val="0"/>
          <w:bCs/>
          <w:color w:val="auto"/>
          <w:szCs w:val="24"/>
          <w:lang w:val="zh-CN"/>
        </w:rPr>
        <w:t>年。</w:t>
      </w:r>
    </w:p>
    <w:p w14:paraId="578CFA0E">
      <w:pPr>
        <w:pStyle w:val="4"/>
        <w:tabs>
          <w:tab w:val="left" w:pos="152"/>
        </w:tabs>
        <w:spacing w:line="520" w:lineRule="exact"/>
        <w:rPr>
          <w:rFonts w:hint="eastAsia" w:ascii="仿宋" w:hAnsi="仿宋" w:eastAsia="仿宋" w:cs="仿宋"/>
          <w:b/>
          <w:bCs/>
          <w:color w:val="auto"/>
          <w:kern w:val="0"/>
          <w:sz w:val="24"/>
          <w:szCs w:val="24"/>
          <w:highlight w:val="none"/>
          <w:lang w:eastAsia="zh-CN"/>
        </w:rPr>
      </w:pPr>
      <w:r>
        <w:rPr>
          <w:rFonts w:hint="eastAsia" w:ascii="仿宋" w:hAnsi="仿宋" w:eastAsia="仿宋" w:cs="仿宋"/>
          <w:b w:val="0"/>
          <w:bCs/>
          <w:color w:val="auto"/>
          <w:szCs w:val="24"/>
          <w:lang w:val="en-US" w:eastAsia="zh-CN"/>
        </w:rPr>
        <w:t>八、</w:t>
      </w:r>
      <w:r>
        <w:rPr>
          <w:rFonts w:hint="eastAsia" w:ascii="仿宋" w:hAnsi="仿宋" w:eastAsia="仿宋" w:cs="仿宋"/>
          <w:b/>
          <w:bCs/>
          <w:color w:val="auto"/>
          <w:kern w:val="0"/>
          <w:sz w:val="24"/>
          <w:szCs w:val="24"/>
          <w:highlight w:val="none"/>
        </w:rPr>
        <w:t>安装、调试和验收要求</w:t>
      </w:r>
      <w:r>
        <w:rPr>
          <w:rFonts w:hint="eastAsia" w:ascii="仿宋" w:hAnsi="仿宋" w:eastAsia="仿宋" w:cs="仿宋"/>
          <w:b/>
          <w:bCs/>
          <w:color w:val="auto"/>
          <w:kern w:val="0"/>
          <w:sz w:val="24"/>
          <w:szCs w:val="24"/>
          <w:highlight w:val="none"/>
          <w:lang w:eastAsia="zh-CN"/>
        </w:rPr>
        <w:t>：</w:t>
      </w:r>
    </w:p>
    <w:p w14:paraId="16DC9F65">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8.1</w:t>
      </w:r>
      <w:r>
        <w:rPr>
          <w:rFonts w:hint="eastAsia" w:ascii="仿宋" w:hAnsi="仿宋" w:eastAsia="仿宋" w:cs="仿宋"/>
          <w:color w:val="auto"/>
          <w:kern w:val="0"/>
          <w:sz w:val="24"/>
          <w:szCs w:val="24"/>
          <w:highlight w:val="none"/>
        </w:rPr>
        <w:t>包装:货物为原厂商未启封全新包装，具出厂合格证，序列号、包装箱号与出厂批号一致，并可追索查阅。所有设备的附件必须齐全。</w:t>
      </w:r>
    </w:p>
    <w:p w14:paraId="4369648B">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8.2</w:t>
      </w:r>
      <w:r>
        <w:rPr>
          <w:rFonts w:hint="eastAsia" w:ascii="仿宋" w:hAnsi="仿宋" w:eastAsia="仿宋" w:cs="仿宋"/>
          <w:color w:val="auto"/>
          <w:kern w:val="0"/>
          <w:sz w:val="24"/>
          <w:szCs w:val="24"/>
          <w:highlight w:val="none"/>
        </w:rPr>
        <w:t>运输:选择运输风险小、运费低、距离短的运输路线。运杂费一次包含在总价内，包括生产厂到施工现场所需的装卸、运输(含保险费)、现场保管费、二次倒运费、吊装费等费用。</w:t>
      </w:r>
    </w:p>
    <w:p w14:paraId="097DF6A7">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8.3</w:t>
      </w:r>
      <w:r>
        <w:rPr>
          <w:rFonts w:hint="eastAsia" w:ascii="仿宋" w:hAnsi="仿宋" w:eastAsia="仿宋" w:cs="仿宋"/>
          <w:color w:val="auto"/>
          <w:kern w:val="0"/>
          <w:sz w:val="24"/>
          <w:szCs w:val="24"/>
          <w:highlight w:val="none"/>
        </w:rPr>
        <w:t>安装调试：中标供应商应配合采购人的时限要求，负责在现场对产品进行安装、调试和试运行，直至验收合格。中标供应商应提供全部安装、调试过程中所需的材料、设施 设备、人工等。试运行应当在监理单位的监督下进行。</w:t>
      </w:r>
    </w:p>
    <w:p w14:paraId="39680D8F">
      <w:pPr>
        <w:numPr>
          <w:ilvl w:val="0"/>
          <w:numId w:val="0"/>
        </w:numPr>
        <w:tabs>
          <w:tab w:val="left" w:pos="152"/>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8.4</w:t>
      </w:r>
      <w:r>
        <w:rPr>
          <w:rFonts w:hint="eastAsia" w:ascii="仿宋" w:hAnsi="仿宋" w:eastAsia="仿宋" w:cs="仿宋"/>
          <w:color w:val="auto"/>
          <w:kern w:val="0"/>
          <w:sz w:val="24"/>
          <w:szCs w:val="24"/>
          <w:highlight w:val="none"/>
        </w:rPr>
        <w:t>验收：</w:t>
      </w:r>
    </w:p>
    <w:p w14:paraId="6DB6B1FE">
      <w:pPr>
        <w:numPr>
          <w:ilvl w:val="0"/>
          <w:numId w:val="0"/>
        </w:numPr>
        <w:tabs>
          <w:tab w:val="left" w:pos="152"/>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rPr>
        <w:t>8.4.1</w:t>
      </w:r>
      <w:r>
        <w:rPr>
          <w:rFonts w:hint="eastAsia" w:ascii="仿宋" w:hAnsi="仿宋" w:eastAsia="仿宋" w:cs="仿宋"/>
          <w:color w:val="auto"/>
          <w:sz w:val="24"/>
          <w:szCs w:val="24"/>
          <w:highlight w:val="none"/>
        </w:rPr>
        <w:t>项目验收分初验和终验: 初验：货物到达交货地点后，由使用单位根据合同对货物（设备）的名称、品牌、规格、型号、产地、数量进行检查。 终验：所有货物(设备)安装、调试完毕，正常使用后，由采购人进行终验（最终验收），合格后签发《终验合格单》。</w:t>
      </w:r>
    </w:p>
    <w:p w14:paraId="3248B56B">
      <w:pPr>
        <w:tabs>
          <w:tab w:val="left" w:pos="152"/>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8.4.2</w:t>
      </w:r>
      <w:r>
        <w:rPr>
          <w:rFonts w:hint="eastAsia" w:ascii="仿宋" w:hAnsi="仿宋" w:eastAsia="仿宋" w:cs="仿宋"/>
          <w:color w:val="auto"/>
          <w:sz w:val="24"/>
          <w:szCs w:val="24"/>
          <w:highlight w:val="none"/>
        </w:rPr>
        <w:t>验收不合格的成交单位，必须在接到通知后7个日历日内确保货物通过验收。如接到通知后 7个日历日内验收仍不合格，采购人可提出索赔或取消其供货合同。采购代理机构将把成交资格授予评审排序下一名的成交单位。</w:t>
      </w:r>
    </w:p>
    <w:p w14:paraId="53998CC7">
      <w:pPr>
        <w:tabs>
          <w:tab w:val="left" w:pos="152"/>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8.4.3</w:t>
      </w:r>
      <w:r>
        <w:rPr>
          <w:rFonts w:hint="eastAsia" w:ascii="仿宋" w:hAnsi="仿宋" w:eastAsia="仿宋" w:cs="仿宋"/>
          <w:color w:val="auto"/>
          <w:sz w:val="24"/>
          <w:szCs w:val="24"/>
          <w:highlight w:val="none"/>
        </w:rPr>
        <w:t>验收依据 （1）合同文本及合同补充文件（条款）； （2）产品的合法来源渠道证明文件、相应功能证明材料；（3）</w:t>
      </w:r>
      <w:r>
        <w:rPr>
          <w:rFonts w:hint="eastAsia" w:ascii="仿宋" w:hAnsi="仿宋" w:eastAsia="仿宋" w:cs="仿宋"/>
          <w:color w:val="auto"/>
          <w:sz w:val="24"/>
          <w:szCs w:val="24"/>
          <w:highlight w:val="none"/>
          <w:lang w:val="en-US" w:eastAsia="zh-CN"/>
        </w:rPr>
        <w:t>谈判</w:t>
      </w:r>
      <w:r>
        <w:rPr>
          <w:rFonts w:hint="eastAsia" w:ascii="仿宋" w:hAnsi="仿宋" w:eastAsia="仿宋" w:cs="仿宋"/>
          <w:color w:val="auto"/>
          <w:sz w:val="24"/>
          <w:szCs w:val="24"/>
          <w:highlight w:val="none"/>
        </w:rPr>
        <w:t>文件； （4）</w:t>
      </w:r>
      <w:r>
        <w:rPr>
          <w:rFonts w:hint="eastAsia" w:ascii="仿宋" w:hAnsi="仿宋" w:eastAsia="仿宋" w:cs="仿宋"/>
          <w:color w:val="auto"/>
          <w:sz w:val="24"/>
          <w:szCs w:val="24"/>
          <w:highlight w:val="none"/>
          <w:lang w:val="en-US" w:eastAsia="zh-CN"/>
        </w:rPr>
        <w:t>谈判响应</w:t>
      </w:r>
      <w:r>
        <w:rPr>
          <w:rFonts w:hint="eastAsia" w:ascii="仿宋" w:hAnsi="仿宋" w:eastAsia="仿宋" w:cs="仿宋"/>
          <w:color w:val="auto"/>
          <w:sz w:val="24"/>
          <w:szCs w:val="24"/>
          <w:highlight w:val="none"/>
        </w:rPr>
        <w:t>文件； （5）合同货物清单； （6）生产厂家的企业资质、货物的执行标准。</w:t>
      </w:r>
    </w:p>
    <w:p w14:paraId="1CFC9285">
      <w:pPr>
        <w:spacing w:line="360" w:lineRule="auto"/>
        <w:rPr>
          <w:rFonts w:hint="eastAsia" w:ascii="仿宋" w:hAnsi="仿宋" w:eastAsia="仿宋" w:cs="仿宋"/>
          <w:b w:val="0"/>
          <w:bCs/>
          <w:color w:val="auto"/>
          <w:szCs w:val="24"/>
          <w:lang w:val="en-US" w:eastAsia="zh-CN"/>
        </w:rPr>
      </w:pPr>
      <w:r>
        <w:rPr>
          <w:rFonts w:hint="eastAsia" w:ascii="仿宋" w:hAnsi="仿宋" w:eastAsia="仿宋" w:cs="仿宋"/>
          <w:color w:val="auto"/>
          <w:kern w:val="0"/>
          <w:sz w:val="24"/>
          <w:szCs w:val="24"/>
          <w:highlight w:val="none"/>
          <w:lang w:val="en-US" w:eastAsia="zh-CN"/>
        </w:rPr>
        <w:t>8.4.5.</w:t>
      </w:r>
      <w:r>
        <w:rPr>
          <w:rFonts w:hint="eastAsia" w:ascii="仿宋" w:hAnsi="仿宋" w:eastAsia="仿宋" w:cs="仿宋"/>
          <w:color w:val="auto"/>
          <w:kern w:val="0"/>
          <w:sz w:val="24"/>
          <w:szCs w:val="24"/>
          <w:highlight w:val="none"/>
        </w:rPr>
        <w:t>培训要求</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应详细制定人员培训方案，包含现场培训和集中培训。培训方案应包括培训目的、培训内容、 培训时间地点安排、培训组织方式等。</w:t>
      </w:r>
    </w:p>
    <w:p w14:paraId="5E52954B">
      <w:pPr>
        <w:pStyle w:val="4"/>
        <w:tabs>
          <w:tab w:val="left" w:pos="152"/>
        </w:tabs>
        <w:spacing w:line="520" w:lineRule="exact"/>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九、服务要求：</w:t>
      </w:r>
    </w:p>
    <w:p w14:paraId="4BBE9040">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9.1</w:t>
      </w:r>
      <w:r>
        <w:rPr>
          <w:rFonts w:hint="eastAsia" w:ascii="仿宋" w:hAnsi="仿宋" w:eastAsia="仿宋" w:cs="仿宋"/>
          <w:color w:val="auto"/>
          <w:kern w:val="0"/>
          <w:sz w:val="24"/>
          <w:szCs w:val="24"/>
          <w:highlight w:val="none"/>
        </w:rPr>
        <w:t>供应商交付的成果及材料必须保证质量可靠，应全面满足</w:t>
      </w:r>
      <w:r>
        <w:rPr>
          <w:rFonts w:hint="eastAsia" w:ascii="仿宋" w:hAnsi="仿宋" w:eastAsia="仿宋" w:cs="仿宋"/>
          <w:color w:val="auto"/>
          <w:kern w:val="0"/>
          <w:sz w:val="24"/>
          <w:szCs w:val="24"/>
          <w:highlight w:val="none"/>
          <w:lang w:eastAsia="zh-CN"/>
        </w:rPr>
        <w:t>谈判文件</w:t>
      </w:r>
      <w:r>
        <w:rPr>
          <w:rFonts w:hint="eastAsia" w:ascii="仿宋" w:hAnsi="仿宋" w:eastAsia="仿宋" w:cs="仿宋"/>
          <w:color w:val="auto"/>
          <w:kern w:val="0"/>
          <w:sz w:val="24"/>
          <w:szCs w:val="24"/>
          <w:highlight w:val="none"/>
        </w:rPr>
        <w:t>的要求，</w:t>
      </w:r>
      <w:r>
        <w:rPr>
          <w:rFonts w:hint="eastAsia" w:ascii="仿宋" w:hAnsi="仿宋" w:eastAsia="仿宋" w:cs="仿宋"/>
          <w:color w:val="auto"/>
          <w:kern w:val="0"/>
          <w:sz w:val="24"/>
          <w:szCs w:val="24"/>
          <w:highlight w:val="none"/>
          <w:lang w:eastAsia="zh-CN"/>
        </w:rPr>
        <w:t>谈判文件</w:t>
      </w:r>
      <w:r>
        <w:rPr>
          <w:rFonts w:hint="eastAsia" w:ascii="仿宋" w:hAnsi="仿宋" w:eastAsia="仿宋" w:cs="仿宋"/>
          <w:color w:val="auto"/>
          <w:kern w:val="0"/>
          <w:sz w:val="24"/>
          <w:szCs w:val="24"/>
          <w:highlight w:val="none"/>
        </w:rPr>
        <w:t>未明确要求的内容，</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按招标服务要求或以</w:t>
      </w:r>
      <w:r>
        <w:rPr>
          <w:rFonts w:hint="eastAsia" w:ascii="仿宋" w:hAnsi="仿宋" w:eastAsia="仿宋" w:cs="仿宋"/>
          <w:color w:val="auto"/>
          <w:kern w:val="0"/>
          <w:sz w:val="24"/>
          <w:szCs w:val="24"/>
          <w:highlight w:val="none"/>
          <w:lang w:eastAsia="zh-CN"/>
        </w:rPr>
        <w:t>采购人</w:t>
      </w:r>
      <w:r>
        <w:rPr>
          <w:rFonts w:hint="eastAsia" w:ascii="仿宋" w:hAnsi="仿宋" w:eastAsia="仿宋" w:cs="仿宋"/>
          <w:color w:val="auto"/>
          <w:kern w:val="0"/>
          <w:sz w:val="24"/>
          <w:szCs w:val="24"/>
          <w:highlight w:val="none"/>
        </w:rPr>
        <w:t>的补充要求为准。所供服务应严格按照国家最新发布的规范标准执行，如发生问题由</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承担全部责任。</w:t>
      </w:r>
    </w:p>
    <w:p w14:paraId="68090D59">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9.2</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必须在8小时内对采购人所提出的维修要求做出实质性反应。</w:t>
      </w:r>
    </w:p>
    <w:p w14:paraId="31808815">
      <w:pPr>
        <w:pStyle w:val="4"/>
        <w:tabs>
          <w:tab w:val="left" w:pos="152"/>
        </w:tabs>
        <w:spacing w:line="52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9.3</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在接到故障申报后，必须在1小时内响应，需要现场维护的，4小时内到达现场，并提供7×24小时的电话技术支持。</w:t>
      </w:r>
    </w:p>
    <w:p w14:paraId="1F87E6C4">
      <w:pPr>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9.4</w:t>
      </w:r>
      <w:r>
        <w:rPr>
          <w:rFonts w:hint="eastAsia" w:ascii="仿宋" w:hAnsi="仿宋" w:eastAsia="仿宋" w:cs="仿宋"/>
          <w:color w:val="auto"/>
          <w:kern w:val="0"/>
          <w:sz w:val="24"/>
          <w:szCs w:val="24"/>
          <w:highlight w:val="none"/>
        </w:rPr>
        <w:t>设备运行过程中如果发生硬件故障，</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必须提供备品备件设备，保障系统正常运行。</w:t>
      </w:r>
    </w:p>
    <w:p w14:paraId="3924873A">
      <w:pPr>
        <w:spacing w:line="360" w:lineRule="auto"/>
        <w:rPr>
          <w:rFonts w:hint="eastAsia" w:ascii="仿宋" w:hAnsi="仿宋" w:eastAsia="仿宋" w:cs="仿宋"/>
          <w:b/>
          <w:color w:val="auto"/>
          <w:sz w:val="24"/>
          <w:szCs w:val="24"/>
        </w:rPr>
      </w:pPr>
      <w:r>
        <w:rPr>
          <w:rFonts w:hint="eastAsia" w:ascii="仿宋" w:hAnsi="仿宋" w:eastAsia="仿宋" w:cs="仿宋"/>
          <w:b/>
          <w:color w:val="auto"/>
          <w:szCs w:val="24"/>
          <w:lang w:val="en-US" w:eastAsia="zh-CN"/>
        </w:rPr>
        <w:t>十、</w:t>
      </w:r>
      <w:r>
        <w:rPr>
          <w:rFonts w:hint="eastAsia" w:ascii="仿宋" w:hAnsi="仿宋" w:eastAsia="仿宋" w:cs="仿宋"/>
          <w:b/>
          <w:bCs/>
          <w:color w:val="auto"/>
          <w:sz w:val="24"/>
          <w:szCs w:val="24"/>
        </w:rPr>
        <w:t>知识产权：</w:t>
      </w:r>
    </w:p>
    <w:p w14:paraId="612AC7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rPr>
        <w:t>应对所供产品具有或已取得合法知识产权，</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应保证所供产品及服务不会出现因第三方提出侵犯其专利权、商标权或其它知识产权而引发法律或经济纠纷，否则由</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负责解决并承担全部责任；如因此影响到采购人的正常使用，采购人有权单方解除本合同，</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应无条件向采购人退回已收取的全部合同价款</w:t>
      </w:r>
    </w:p>
    <w:p w14:paraId="1CE7EBB3">
      <w:pPr>
        <w:spacing w:line="360" w:lineRule="auto"/>
        <w:rPr>
          <w:rFonts w:hint="eastAsia" w:ascii="仿宋" w:hAnsi="仿宋" w:eastAsia="仿宋" w:cs="仿宋"/>
          <w:b/>
          <w:color w:val="auto"/>
          <w:szCs w:val="24"/>
        </w:rPr>
      </w:pPr>
      <w:r>
        <w:rPr>
          <w:rFonts w:hint="eastAsia" w:ascii="仿宋" w:hAnsi="仿宋" w:eastAsia="仿宋" w:cs="仿宋"/>
          <w:b/>
          <w:color w:val="auto"/>
          <w:szCs w:val="24"/>
          <w:lang w:val="en-US" w:eastAsia="zh-CN"/>
        </w:rPr>
        <w:t>十一、</w:t>
      </w:r>
      <w:r>
        <w:rPr>
          <w:rFonts w:hint="eastAsia" w:ascii="仿宋" w:hAnsi="仿宋" w:eastAsia="仿宋" w:cs="仿宋"/>
          <w:b/>
          <w:color w:val="auto"/>
          <w:szCs w:val="24"/>
        </w:rPr>
        <w:t>合同争议的解决</w:t>
      </w:r>
    </w:p>
    <w:p w14:paraId="127163C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合同执行中发生争议的，当事人双方应协商解决，协商达不成一致时，可向采购人所在地人民法院提请诉讼。</w:t>
      </w:r>
    </w:p>
    <w:p w14:paraId="12EBC4C1">
      <w:pPr>
        <w:spacing w:line="360" w:lineRule="auto"/>
        <w:jc w:val="left"/>
        <w:rPr>
          <w:rFonts w:hint="eastAsia" w:ascii="仿宋" w:hAnsi="仿宋" w:eastAsia="仿宋" w:cs="仿宋"/>
          <w:b/>
          <w:bCs/>
          <w:color w:val="auto"/>
          <w:szCs w:val="24"/>
        </w:rPr>
      </w:pPr>
      <w:r>
        <w:rPr>
          <w:rFonts w:hint="eastAsia" w:ascii="仿宋" w:hAnsi="仿宋" w:eastAsia="仿宋" w:cs="仿宋"/>
          <w:b/>
          <w:bCs/>
          <w:color w:val="auto"/>
          <w:szCs w:val="24"/>
          <w:lang w:val="en-US" w:eastAsia="zh-CN"/>
        </w:rPr>
        <w:t>十二</w:t>
      </w:r>
      <w:r>
        <w:rPr>
          <w:rFonts w:hint="eastAsia" w:ascii="仿宋" w:hAnsi="仿宋" w:eastAsia="仿宋" w:cs="仿宋"/>
          <w:b/>
          <w:bCs/>
          <w:color w:val="auto"/>
          <w:szCs w:val="24"/>
        </w:rPr>
        <w:t>、不可抗力情况下的免责约定</w:t>
      </w:r>
    </w:p>
    <w:p w14:paraId="02AF379B">
      <w:pPr>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rPr>
        <w:t xml:space="preserve">    双方约定不可抗力情况指：双方不可预见、不可避免、不可克服的客观情况，但不包括双方的违约或疏忽。这些事件包括但不限于：战争、严重火灾、洪水、台风、地震等。</w:t>
      </w:r>
    </w:p>
    <w:p w14:paraId="7BEAECB9">
      <w:pPr>
        <w:numPr>
          <w:ilvl w:val="0"/>
          <w:numId w:val="0"/>
        </w:numPr>
        <w:spacing w:line="360" w:lineRule="auto"/>
        <w:rPr>
          <w:rFonts w:hint="eastAsia" w:ascii="仿宋" w:hAnsi="仿宋" w:eastAsia="仿宋" w:cs="仿宋"/>
          <w:b w:val="0"/>
          <w:bCs/>
          <w:color w:val="auto"/>
          <w:szCs w:val="24"/>
          <w:highlight w:val="none"/>
          <w:lang w:val="en-US" w:eastAsia="zh-CN"/>
        </w:rPr>
      </w:pPr>
      <w:r>
        <w:rPr>
          <w:rFonts w:hint="eastAsia" w:ascii="仿宋" w:hAnsi="仿宋" w:eastAsia="仿宋" w:cs="仿宋"/>
          <w:b/>
          <w:color w:val="auto"/>
          <w:szCs w:val="24"/>
          <w:highlight w:val="none"/>
          <w:lang w:val="en-US" w:eastAsia="zh-CN"/>
        </w:rPr>
        <w:t>十三、</w:t>
      </w:r>
      <w:r>
        <w:rPr>
          <w:rFonts w:hint="eastAsia" w:ascii="仿宋" w:hAnsi="仿宋" w:eastAsia="仿宋" w:cs="仿宋"/>
          <w:b/>
          <w:color w:val="auto"/>
          <w:szCs w:val="24"/>
          <w:highlight w:val="none"/>
        </w:rPr>
        <w:t>违约责任：</w:t>
      </w:r>
      <w:r>
        <w:rPr>
          <w:rFonts w:hint="eastAsia" w:ascii="仿宋" w:hAnsi="仿宋" w:eastAsia="仿宋" w:cs="仿宋"/>
          <w:b w:val="0"/>
          <w:bCs/>
          <w:color w:val="auto"/>
          <w:szCs w:val="24"/>
          <w:highlight w:val="none"/>
          <w:lang w:val="en-US" w:eastAsia="zh-CN"/>
        </w:rPr>
        <w:t>1.按《中华人民共和国民法典第三编合同》、《中华人民共和国政府采购法》中的相关条款执行。</w:t>
      </w:r>
    </w:p>
    <w:p w14:paraId="777AE5ED">
      <w:pPr>
        <w:numPr>
          <w:ilvl w:val="0"/>
          <w:numId w:val="2"/>
        </w:numPr>
        <w:spacing w:line="360" w:lineRule="auto"/>
        <w:ind w:left="120" w:leftChars="0" w:firstLine="0" w:firstLineChars="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未按合同或竞争性谈判文件要求提供产品或提供的产品质量不能满足采购人技术要求，采购单位有权终止合同，甚至对供应商违约行为进行追究。</w:t>
      </w:r>
    </w:p>
    <w:p w14:paraId="4B24D2D6">
      <w:pPr>
        <w:numPr>
          <w:ilvl w:val="0"/>
          <w:numId w:val="2"/>
        </w:numPr>
        <w:spacing w:line="360" w:lineRule="auto"/>
        <w:ind w:left="120" w:leftChars="0" w:firstLine="0" w:firstLineChars="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 xml:space="preserve">供货方的谈判响应文件为签订正式书面合同书不可分割的部分，供货方应履行相应的责任。 </w:t>
      </w:r>
    </w:p>
    <w:p w14:paraId="0A29A6A0">
      <w:pPr>
        <w:numPr>
          <w:ilvl w:val="0"/>
          <w:numId w:val="0"/>
        </w:numPr>
        <w:spacing w:line="360" w:lineRule="auto"/>
        <w:ind w:left="120" w:leftChars="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4.供应商连续三个月未达到工作要求及标准，甲方有权提前解除协议，并无需承担未达标月份的相应费用。</w:t>
      </w:r>
    </w:p>
    <w:p w14:paraId="54BF7ACC">
      <w:pPr>
        <w:spacing w:line="360" w:lineRule="auto"/>
        <w:rPr>
          <w:rFonts w:hint="eastAsia" w:ascii="仿宋" w:hAnsi="仿宋" w:eastAsia="仿宋" w:cs="仿宋"/>
          <w:b/>
          <w:color w:val="auto"/>
          <w:szCs w:val="24"/>
        </w:rPr>
      </w:pPr>
      <w:r>
        <w:rPr>
          <w:rFonts w:hint="eastAsia" w:ascii="仿宋" w:hAnsi="仿宋" w:eastAsia="仿宋" w:cs="仿宋"/>
          <w:b/>
          <w:color w:val="auto"/>
          <w:szCs w:val="24"/>
        </w:rPr>
        <w:t>十</w:t>
      </w:r>
      <w:r>
        <w:rPr>
          <w:rFonts w:hint="eastAsia" w:ascii="仿宋" w:hAnsi="仿宋" w:eastAsia="仿宋" w:cs="仿宋"/>
          <w:b/>
          <w:color w:val="auto"/>
          <w:szCs w:val="24"/>
          <w:lang w:val="en-US" w:eastAsia="zh-CN"/>
        </w:rPr>
        <w:t>四、</w:t>
      </w:r>
      <w:r>
        <w:rPr>
          <w:rFonts w:hint="eastAsia" w:ascii="仿宋" w:hAnsi="仿宋" w:eastAsia="仿宋" w:cs="仿宋"/>
          <w:b/>
          <w:color w:val="auto"/>
          <w:szCs w:val="24"/>
        </w:rPr>
        <w:t>合同订立</w:t>
      </w:r>
    </w:p>
    <w:p w14:paraId="0938F690">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1. 订立时间：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185C1F6F">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2. 订立地点：</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606324A9">
      <w:pPr>
        <w:tabs>
          <w:tab w:val="left" w:pos="980"/>
        </w:tabs>
        <w:kinsoku w:val="0"/>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 本合同一式</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陆</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份，具有同等法律效力，双方各执</w:t>
      </w:r>
      <w:r>
        <w:rPr>
          <w:rFonts w:hint="eastAsia" w:ascii="仿宋" w:hAnsi="仿宋" w:eastAsia="仿宋" w:cs="仿宋"/>
          <w:color w:val="auto"/>
          <w:szCs w:val="24"/>
          <w:u w:val="single"/>
        </w:rPr>
        <w:t xml:space="preserve"> 贰 </w:t>
      </w:r>
      <w:r>
        <w:rPr>
          <w:rFonts w:hint="eastAsia" w:ascii="仿宋" w:hAnsi="仿宋" w:eastAsia="仿宋" w:cs="仿宋"/>
          <w:color w:val="auto"/>
          <w:szCs w:val="24"/>
        </w:rPr>
        <w:t>份，监管部门备案</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壹</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份、招标代理机构存档</w:t>
      </w:r>
      <w:r>
        <w:rPr>
          <w:rFonts w:hint="eastAsia" w:ascii="仿宋" w:hAnsi="仿宋" w:eastAsia="仿宋" w:cs="仿宋"/>
          <w:color w:val="auto"/>
          <w:szCs w:val="24"/>
          <w:u w:val="single"/>
        </w:rPr>
        <w:t xml:space="preserve"> 壹 </w:t>
      </w:r>
      <w:r>
        <w:rPr>
          <w:rFonts w:hint="eastAsia" w:ascii="仿宋" w:hAnsi="仿宋" w:eastAsia="仿宋" w:cs="仿宋"/>
          <w:color w:val="auto"/>
          <w:szCs w:val="24"/>
        </w:rPr>
        <w:t>份。各方签字盖章后生效，合同执行完毕自动失效。（合同的服务承诺则长期有效）。</w:t>
      </w:r>
    </w:p>
    <w:p w14:paraId="444F8A4E">
      <w:pPr>
        <w:keepNext w:val="0"/>
        <w:keepLines w:val="0"/>
        <w:pageBreakBefore w:val="0"/>
        <w:widowControl w:val="0"/>
        <w:kinsoku/>
        <w:wordWrap/>
        <w:overflowPunct/>
        <w:topLinePunct w:val="0"/>
        <w:autoSpaceDE/>
        <w:autoSpaceDN/>
        <w:bidi w:val="0"/>
        <w:adjustRightInd/>
        <w:spacing w:line="48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甲方名称：（盖章）</w:t>
      </w:r>
      <w:r>
        <w:rPr>
          <w:rFonts w:hint="eastAsia" w:ascii="仿宋" w:hAnsi="仿宋" w:eastAsia="仿宋" w:cs="仿宋"/>
          <w:color w:val="auto"/>
          <w:sz w:val="24"/>
          <w:szCs w:val="24"/>
          <w:lang w:val="en-US" w:eastAsia="zh-CN"/>
        </w:rPr>
        <w:t xml:space="preserve">                 乙</w:t>
      </w:r>
      <w:r>
        <w:rPr>
          <w:rFonts w:hint="eastAsia" w:ascii="仿宋" w:hAnsi="仿宋" w:eastAsia="仿宋" w:cs="仿宋"/>
          <w:color w:val="auto"/>
          <w:sz w:val="24"/>
          <w:szCs w:val="24"/>
        </w:rPr>
        <w:t>方名称：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 xml:space="preserve">盖章）                    </w:t>
      </w:r>
      <w:r>
        <w:rPr>
          <w:rFonts w:hint="eastAsia" w:ascii="仿宋" w:hAnsi="仿宋" w:eastAsia="仿宋" w:cs="仿宋"/>
          <w:color w:val="auto"/>
          <w:sz w:val="24"/>
          <w:szCs w:val="24"/>
          <w:lang w:val="en-US" w:eastAsia="zh-CN"/>
        </w:rPr>
        <w:t xml:space="preserve">    </w:t>
      </w:r>
    </w:p>
    <w:p w14:paraId="5DD0307A">
      <w:pPr>
        <w:keepNext w:val="0"/>
        <w:keepLines w:val="0"/>
        <w:pageBreakBefore w:val="0"/>
        <w:widowControl w:val="0"/>
        <w:kinsoku/>
        <w:wordWrap/>
        <w:overflowPunct/>
        <w:topLinePunct w:val="0"/>
        <w:autoSpaceDE/>
        <w:autoSpaceDN/>
        <w:bidi w:val="0"/>
        <w:adjustRightInd/>
        <w:spacing w:line="480" w:lineRule="exact"/>
        <w:rPr>
          <w:rFonts w:hint="eastAsia" w:ascii="仿宋" w:hAnsi="仿宋" w:eastAsia="仿宋" w:cs="仿宋"/>
          <w:color w:val="auto"/>
          <w:sz w:val="24"/>
          <w:szCs w:val="24"/>
        </w:rPr>
      </w:pPr>
      <w:r>
        <w:rPr>
          <w:rFonts w:hint="eastAsia" w:ascii="仿宋" w:hAnsi="仿宋" w:eastAsia="仿宋" w:cs="仿宋"/>
          <w:color w:val="auto"/>
          <w:sz w:val="24"/>
          <w:szCs w:val="24"/>
        </w:rPr>
        <w:t xml:space="preserve">地址：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地址：</w:t>
      </w:r>
    </w:p>
    <w:p w14:paraId="1FD7C6BF">
      <w:pPr>
        <w:keepNext w:val="0"/>
        <w:keepLines w:val="0"/>
        <w:pageBreakBefore w:val="0"/>
        <w:widowControl w:val="0"/>
        <w:kinsoku/>
        <w:wordWrap/>
        <w:overflowPunct/>
        <w:topLinePunct w:val="0"/>
        <w:autoSpaceDE/>
        <w:autoSpaceDN/>
        <w:bidi w:val="0"/>
        <w:adjustRightInd/>
        <w:spacing w:line="480" w:lineRule="exact"/>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lang w:val="en-US" w:eastAsia="zh-CN"/>
        </w:rPr>
        <w:t>或</w:t>
      </w:r>
      <w:r>
        <w:rPr>
          <w:rFonts w:hint="eastAsia" w:ascii="仿宋" w:hAnsi="仿宋" w:eastAsia="仿宋" w:cs="仿宋"/>
          <w:color w:val="auto"/>
          <w:sz w:val="24"/>
          <w:szCs w:val="24"/>
        </w:rPr>
        <w:t>授权代表（签字）：    法定代表人</w:t>
      </w:r>
      <w:r>
        <w:rPr>
          <w:rFonts w:hint="eastAsia" w:ascii="仿宋" w:hAnsi="仿宋" w:eastAsia="仿宋" w:cs="仿宋"/>
          <w:color w:val="auto"/>
          <w:sz w:val="24"/>
          <w:szCs w:val="24"/>
          <w:lang w:val="en-US" w:eastAsia="zh-CN"/>
        </w:rPr>
        <w:t>或</w:t>
      </w:r>
      <w:r>
        <w:rPr>
          <w:rFonts w:hint="eastAsia" w:ascii="仿宋" w:hAnsi="仿宋" w:eastAsia="仿宋" w:cs="仿宋"/>
          <w:color w:val="auto"/>
          <w:sz w:val="24"/>
          <w:szCs w:val="24"/>
        </w:rPr>
        <w:t xml:space="preserve">授权代表（签字）    </w:t>
      </w:r>
    </w:p>
    <w:p w14:paraId="13A8A02D">
      <w:pPr>
        <w:keepNext w:val="0"/>
        <w:keepLines w:val="0"/>
        <w:pageBreakBefore w:val="0"/>
        <w:widowControl w:val="0"/>
        <w:kinsoku/>
        <w:wordWrap/>
        <w:overflowPunct/>
        <w:topLinePunct w:val="0"/>
        <w:autoSpaceDE/>
        <w:autoSpaceDN/>
        <w:bidi w:val="0"/>
        <w:adjustRightInd/>
        <w:spacing w:line="480" w:lineRule="exact"/>
        <w:rPr>
          <w:rFonts w:hint="eastAsia" w:ascii="仿宋" w:hAnsi="仿宋" w:eastAsia="仿宋" w:cs="仿宋"/>
          <w:color w:val="auto"/>
          <w:sz w:val="24"/>
          <w:szCs w:val="24"/>
        </w:rPr>
      </w:pPr>
      <w:r>
        <w:rPr>
          <w:rFonts w:hint="eastAsia" w:ascii="仿宋" w:hAnsi="仿宋" w:eastAsia="仿宋" w:cs="仿宋"/>
          <w:color w:val="auto"/>
          <w:sz w:val="24"/>
          <w:szCs w:val="24"/>
        </w:rPr>
        <w:t xml:space="preserve">开户银行：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开户银行：</w:t>
      </w:r>
    </w:p>
    <w:p w14:paraId="4632D9B1">
      <w:pPr>
        <w:keepNext w:val="0"/>
        <w:keepLines w:val="0"/>
        <w:pageBreakBefore w:val="0"/>
        <w:widowControl w:val="0"/>
        <w:kinsoku/>
        <w:wordWrap/>
        <w:overflowPunct/>
        <w:topLinePunct w:val="0"/>
        <w:autoSpaceDE/>
        <w:autoSpaceDN/>
        <w:bidi w:val="0"/>
        <w:adjustRightInd/>
        <w:spacing w:line="480" w:lineRule="exact"/>
        <w:rPr>
          <w:rFonts w:hint="eastAsia" w:ascii="仿宋" w:hAnsi="仿宋" w:eastAsia="仿宋" w:cs="仿宋"/>
          <w:color w:val="auto"/>
          <w:sz w:val="24"/>
          <w:szCs w:val="24"/>
        </w:rPr>
      </w:pPr>
      <w:r>
        <w:rPr>
          <w:rFonts w:hint="eastAsia" w:ascii="仿宋" w:hAnsi="仿宋" w:eastAsia="仿宋" w:cs="仿宋"/>
          <w:color w:val="auto"/>
          <w:sz w:val="24"/>
          <w:szCs w:val="24"/>
        </w:rPr>
        <w:t xml:space="preserve">银行帐号：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银行帐号：</w:t>
      </w:r>
    </w:p>
    <w:p w14:paraId="47FFFE83">
      <w:pPr>
        <w:keepNext w:val="0"/>
        <w:keepLines w:val="0"/>
        <w:pageBreakBefore w:val="0"/>
        <w:widowControl w:val="0"/>
        <w:kinsoku/>
        <w:wordWrap/>
        <w:overflowPunct/>
        <w:topLinePunct w:val="0"/>
        <w:autoSpaceDE/>
        <w:autoSpaceDN/>
        <w:bidi w:val="0"/>
        <w:adjustRightInd/>
        <w:spacing w:line="480" w:lineRule="exact"/>
        <w:rPr>
          <w:rFonts w:hint="eastAsia" w:ascii="仿宋" w:hAnsi="仿宋" w:eastAsia="仿宋" w:cs="仿宋"/>
          <w:color w:val="auto"/>
          <w:sz w:val="24"/>
          <w:szCs w:val="24"/>
        </w:rPr>
      </w:pPr>
      <w:r>
        <w:rPr>
          <w:rFonts w:hint="eastAsia" w:ascii="仿宋" w:hAnsi="仿宋" w:eastAsia="仿宋" w:cs="仿宋"/>
          <w:color w:val="auto"/>
          <w:sz w:val="24"/>
          <w:szCs w:val="24"/>
        </w:rPr>
        <w:t>年     月     日</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     月     日</w:t>
      </w:r>
    </w:p>
    <w:p w14:paraId="65750740">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05C6F">
    <w:pPr>
      <w:spacing w:line="230" w:lineRule="auto"/>
      <w:ind w:left="4189"/>
      <w:rPr>
        <w:rFonts w:ascii="宋体" w:hAnsi="宋体" w:eastAsia="宋体" w:cs="宋体"/>
        <w:sz w:val="21"/>
        <w:szCs w:val="21"/>
      </w:rPr>
    </w:pPr>
    <w:r>
      <w:rPr>
        <w:rFonts w:ascii="宋体" w:hAnsi="宋体" w:eastAsia="宋体" w:cs="宋体"/>
        <w:spacing w:val="-3"/>
        <w:sz w:val="21"/>
        <w:szCs w:val="21"/>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4440EA"/>
    <w:multiLevelType w:val="singleLevel"/>
    <w:tmpl w:val="A54440EA"/>
    <w:lvl w:ilvl="0" w:tentative="0">
      <w:start w:val="2"/>
      <w:numFmt w:val="decimal"/>
      <w:lvlText w:val="%1."/>
      <w:lvlJc w:val="left"/>
      <w:pPr>
        <w:tabs>
          <w:tab w:val="left" w:pos="312"/>
        </w:tabs>
        <w:ind w:left="120" w:leftChars="0" w:firstLine="0" w:firstLineChars="0"/>
      </w:pPr>
    </w:lvl>
  </w:abstractNum>
  <w:abstractNum w:abstractNumId="1">
    <w:nsid w:val="F5B81374"/>
    <w:multiLevelType w:val="singleLevel"/>
    <w:tmpl w:val="F5B81374"/>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40BA556A"/>
    <w:rsid w:val="0D3217A1"/>
    <w:rsid w:val="10D850FF"/>
    <w:rsid w:val="1C533839"/>
    <w:rsid w:val="2AF87B0C"/>
    <w:rsid w:val="319648A3"/>
    <w:rsid w:val="38835DA8"/>
    <w:rsid w:val="39EB0887"/>
    <w:rsid w:val="3D0104CC"/>
    <w:rsid w:val="40BA556A"/>
    <w:rsid w:val="435D4D3C"/>
    <w:rsid w:val="43D1432D"/>
    <w:rsid w:val="49503E2D"/>
    <w:rsid w:val="5391332A"/>
    <w:rsid w:val="70E64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sz w:val="24"/>
      <w:lang w:val="en-US" w:eastAsia="zh-CN" w:bidi="ar-SA"/>
    </w:rPr>
  </w:style>
  <w:style w:type="paragraph" w:styleId="2">
    <w:name w:val="heading 1"/>
    <w:basedOn w:val="1"/>
    <w:next w:val="1"/>
    <w:qFormat/>
    <w:uiPriority w:val="0"/>
    <w:pPr>
      <w:keepNext/>
      <w:jc w:val="center"/>
      <w:outlineLvl w:val="0"/>
    </w:pPr>
    <w:rPr>
      <w:rFonts w:ascii="仿宋_GB2312" w:hAnsi="宋体" w:eastAsia="宋体"/>
      <w:b/>
      <w:sz w:val="32"/>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520" w:lineRule="exact"/>
      <w:ind w:firstLine="420" w:firstLineChars="200"/>
      <w:jc w:val="both"/>
    </w:pPr>
    <w:rPr>
      <w:rFonts w:ascii="Times New Roman" w:hAnsi="Times New Roman" w:eastAsia="仿宋"/>
      <w:kern w:val="2"/>
      <w:sz w:val="24"/>
      <w:szCs w:val="24"/>
    </w:rPr>
  </w:style>
  <w:style w:type="paragraph" w:styleId="4">
    <w:name w:val="Body Text"/>
    <w:basedOn w:val="1"/>
    <w:qFormat/>
    <w:uiPriority w:val="0"/>
    <w:pPr>
      <w:spacing w:after="120"/>
    </w:pPr>
    <w:rPr>
      <w:rFonts w:ascii="Times New Roman"/>
      <w:kern w:val="2"/>
      <w:sz w:val="21"/>
    </w:rPr>
  </w:style>
  <w:style w:type="paragraph" w:styleId="5">
    <w:name w:val="Body Text Indent"/>
    <w:basedOn w:val="1"/>
    <w:qFormat/>
    <w:uiPriority w:val="0"/>
    <w:pPr>
      <w:widowControl/>
      <w:ind w:firstLine="652" w:firstLineChars="233"/>
    </w:pPr>
    <w:rPr>
      <w:rFonts w:ascii="Times New Roman"/>
      <w:sz w:val="28"/>
    </w:rPr>
  </w:style>
  <w:style w:type="paragraph" w:styleId="6">
    <w:name w:val="Plain Text"/>
    <w:basedOn w:val="1"/>
    <w:qFormat/>
    <w:uiPriority w:val="0"/>
    <w:rPr>
      <w:rFonts w:ascii="宋体" w:hAnsi="Courier New"/>
    </w:rPr>
  </w:style>
  <w:style w:type="paragraph" w:styleId="7">
    <w:name w:val="toc 4"/>
    <w:basedOn w:val="1"/>
    <w:next w:val="1"/>
    <w:qFormat/>
    <w:uiPriority w:val="0"/>
    <w:pPr>
      <w:ind w:left="1260" w:leftChars="600"/>
    </w:pPr>
  </w:style>
  <w:style w:type="paragraph" w:styleId="8">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4393</Words>
  <Characters>4516</Characters>
  <Lines>0</Lines>
  <Paragraphs>0</Paragraphs>
  <TotalTime>0</TotalTime>
  <ScaleCrop>false</ScaleCrop>
  <LinksUpToDate>false</LinksUpToDate>
  <CharactersWithSpaces>5312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2024-07-22T06:41:00Z</dcterms:created>
  <dc:creator>曾 小艳</dc:creator>
  <cp:lastModifiedBy>曾 小艳</cp:lastModifiedBy>
  <dcterms:modified xsi:type="dcterms:W3CDTF">2025-11-13T02:12:33Z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346F45CE3B46441489CDD4C372D58173_13</vt:lpwstr>
  </property>
  <property fmtid="{D5CDD505-2E9C-101B-9397-08002B2CF9AE}" pid="4" name="KSOTemplateDocerSaveRecord">
    <vt:lpwstr>eyJoZGlkIjoiMTgyY2Y5Y2UxZjkwY2NiYzg1MTM4ZmQzOTFhYWJhY2IiLCJ1c2VySWQiOiI0MTIzNDI4OTEifQ==</vt:lpwstr>
  </property>
</Properties>
</file>