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版本号：HXGJXM2025-ZC-CS1103.20251112001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网络综合治理（互联网违法和不良信息举报）(二次)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HXGJXM2025-ZC-CS1103.</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网络综合治理（互联网违法和不良信息举报）(二次)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网络综合治理（互联网违法和不良信息举报）(二次)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网络综合治理（互联网违法和不良信息举报），预算金额55000元。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采购包1（网络综合治理（互联网违法和不良信息举报））：属于专门面向中小企业采购。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磋商截止日前一年内在本单位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代理服务费收费标准：定额收取：6000元。 成交单位在领取成交通知书前，须向采购代理机构一次性支付招标代理服务费。 招标代理服务费账户：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联系人：柴彩珍、雷鸣、康敏茹、张艳萍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网络综合治理（互联网违法和不良信息举报）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w:t>
      </w:r>
    </w:p>
    <w:p>
      <w:pPr>
        <w:pStyle w:val="null3"/>
      </w:pPr>
      <w:r>
        <w:rPr>
          <w:rFonts w:ascii="仿宋_GB2312" w:hAnsi="仿宋_GB2312" w:cs="仿宋_GB2312" w:eastAsia="仿宋_GB2312"/>
        </w:rPr>
        <w:t>采购包最高限价（元）: 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网络综合治理（互联网违法和不良信息举报）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标的名称：网络综合治理（互联网违法和不良信息举报）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645"/>
              <w:jc w:val="left"/>
            </w:pPr>
            <w:r>
              <w:rPr>
                <w:rFonts w:ascii="仿宋_GB2312" w:hAnsi="仿宋_GB2312" w:cs="仿宋_GB2312" w:eastAsia="仿宋_GB2312"/>
                <w:sz w:val="32"/>
              </w:rPr>
              <w:t>一、互联网违法信息包括：</w:t>
            </w:r>
            <w:r>
              <w:rPr>
                <w:rFonts w:ascii="仿宋_GB2312" w:hAnsi="仿宋_GB2312" w:cs="仿宋_GB2312" w:eastAsia="仿宋_GB2312"/>
                <w:sz w:val="32"/>
              </w:rPr>
              <w:t xml:space="preserve">                                     </w:t>
            </w:r>
          </w:p>
          <w:p>
            <w:pPr>
              <w:pStyle w:val="null3"/>
              <w:ind w:left="645"/>
              <w:jc w:val="left"/>
            </w:pPr>
            <w:r>
              <w:rPr>
                <w:rFonts w:ascii="仿宋_GB2312" w:hAnsi="仿宋_GB2312" w:cs="仿宋_GB2312" w:eastAsia="仿宋_GB2312"/>
                <w:sz w:val="32"/>
              </w:rPr>
              <w:t>（一）反对宪法所确定的基本原则的；</w:t>
            </w:r>
          </w:p>
          <w:p>
            <w:pPr>
              <w:pStyle w:val="null3"/>
              <w:ind w:left="645"/>
              <w:jc w:val="both"/>
            </w:pPr>
            <w:r>
              <w:rPr>
                <w:rFonts w:ascii="仿宋_GB2312" w:hAnsi="仿宋_GB2312" w:cs="仿宋_GB2312" w:eastAsia="仿宋_GB2312"/>
                <w:sz w:val="32"/>
              </w:rPr>
              <w:t>（二）危害国家安全，泄露国家秘密，颠覆国家政权，破坏国家统一的；</w:t>
            </w:r>
          </w:p>
          <w:p>
            <w:pPr>
              <w:pStyle w:val="null3"/>
              <w:ind w:left="645"/>
              <w:jc w:val="both"/>
            </w:pPr>
            <w:r>
              <w:rPr>
                <w:rFonts w:ascii="仿宋_GB2312" w:hAnsi="仿宋_GB2312" w:cs="仿宋_GB2312" w:eastAsia="仿宋_GB2312"/>
                <w:sz w:val="32"/>
              </w:rPr>
              <w:t>（三）损害国家荣誉和利益的；</w:t>
            </w:r>
          </w:p>
          <w:p>
            <w:pPr>
              <w:pStyle w:val="null3"/>
              <w:ind w:left="645"/>
              <w:jc w:val="both"/>
            </w:pPr>
            <w:r>
              <w:rPr>
                <w:rFonts w:ascii="仿宋_GB2312" w:hAnsi="仿宋_GB2312" w:cs="仿宋_GB2312" w:eastAsia="仿宋_GB2312"/>
                <w:sz w:val="32"/>
              </w:rPr>
              <w:t>（四）歪曲、丑化、亵渎、否定英雄烈士事迹和精神，以侮辱、诽谤或者其他方式侵害英雄烈士的姓名、肖像、名誉、荣誉的；</w:t>
            </w:r>
          </w:p>
          <w:p>
            <w:pPr>
              <w:pStyle w:val="null3"/>
              <w:ind w:left="645"/>
              <w:jc w:val="both"/>
            </w:pPr>
            <w:r>
              <w:rPr>
                <w:rFonts w:ascii="仿宋_GB2312" w:hAnsi="仿宋_GB2312" w:cs="仿宋_GB2312" w:eastAsia="仿宋_GB2312"/>
                <w:sz w:val="32"/>
              </w:rPr>
              <w:t>（五）宣扬恐怖主义、极端主义或者煽动实施恐怖活动、极端主义活动的；</w:t>
            </w:r>
          </w:p>
          <w:p>
            <w:pPr>
              <w:pStyle w:val="null3"/>
              <w:ind w:left="645"/>
              <w:jc w:val="both"/>
            </w:pPr>
            <w:r>
              <w:rPr>
                <w:rFonts w:ascii="仿宋_GB2312" w:hAnsi="仿宋_GB2312" w:cs="仿宋_GB2312" w:eastAsia="仿宋_GB2312"/>
                <w:sz w:val="32"/>
              </w:rPr>
              <w:t>（六）煽动民族仇恨、民族歧视，破坏民族团结的；</w:t>
            </w:r>
          </w:p>
          <w:p>
            <w:pPr>
              <w:pStyle w:val="null3"/>
              <w:ind w:left="645"/>
              <w:jc w:val="both"/>
            </w:pPr>
            <w:r>
              <w:rPr>
                <w:rFonts w:ascii="仿宋_GB2312" w:hAnsi="仿宋_GB2312" w:cs="仿宋_GB2312" w:eastAsia="仿宋_GB2312"/>
                <w:sz w:val="32"/>
              </w:rPr>
              <w:t>（七）破坏国家宗教政策，宣扬邪教和封建迷信的；</w:t>
            </w:r>
          </w:p>
          <w:p>
            <w:pPr>
              <w:pStyle w:val="null3"/>
              <w:ind w:left="645"/>
              <w:jc w:val="both"/>
            </w:pPr>
            <w:r>
              <w:rPr>
                <w:rFonts w:ascii="仿宋_GB2312" w:hAnsi="仿宋_GB2312" w:cs="仿宋_GB2312" w:eastAsia="仿宋_GB2312"/>
                <w:sz w:val="32"/>
              </w:rPr>
              <w:t>（八）散布谣言，扰乱经济秩序和社会秩序的；</w:t>
            </w:r>
          </w:p>
          <w:p>
            <w:pPr>
              <w:pStyle w:val="null3"/>
              <w:ind w:left="645"/>
              <w:jc w:val="both"/>
            </w:pPr>
            <w:r>
              <w:rPr>
                <w:rFonts w:ascii="仿宋_GB2312" w:hAnsi="仿宋_GB2312" w:cs="仿宋_GB2312" w:eastAsia="仿宋_GB2312"/>
                <w:sz w:val="32"/>
              </w:rPr>
              <w:t>（九）散布淫秽、色情、赌博、暴力、凶杀、恐怖或者教唆犯罪的；</w:t>
            </w:r>
          </w:p>
          <w:p>
            <w:pPr>
              <w:pStyle w:val="null3"/>
              <w:ind w:left="645"/>
              <w:jc w:val="left"/>
            </w:pPr>
            <w:r>
              <w:rPr>
                <w:rFonts w:ascii="仿宋_GB2312" w:hAnsi="仿宋_GB2312" w:cs="仿宋_GB2312" w:eastAsia="仿宋_GB2312"/>
                <w:sz w:val="32"/>
              </w:rPr>
              <w:t>（十）侮辱或者诽谤他人，侵害他人名誉、隐私和其他合法权益的；</w:t>
            </w:r>
            <w:r>
              <w:rPr>
                <w:rFonts w:ascii="仿宋_GB2312" w:hAnsi="仿宋_GB2312" w:cs="仿宋_GB2312" w:eastAsia="仿宋_GB2312"/>
                <w:sz w:val="32"/>
              </w:rPr>
              <w:t xml:space="preserve">                                    </w:t>
            </w:r>
          </w:p>
          <w:p>
            <w:pPr>
              <w:pStyle w:val="null3"/>
              <w:ind w:left="645"/>
              <w:jc w:val="left"/>
            </w:pPr>
            <w:r>
              <w:rPr>
                <w:rFonts w:ascii="仿宋_GB2312" w:hAnsi="仿宋_GB2312" w:cs="仿宋_GB2312" w:eastAsia="仿宋_GB2312"/>
                <w:sz w:val="32"/>
              </w:rPr>
              <w:t>（十一）法律、行政法规禁止的其他内容。</w:t>
            </w:r>
          </w:p>
          <w:p>
            <w:pPr>
              <w:pStyle w:val="null3"/>
              <w:ind w:left="645"/>
              <w:jc w:val="both"/>
            </w:pPr>
            <w:r>
              <w:rPr>
                <w:rFonts w:ascii="仿宋_GB2312" w:hAnsi="仿宋_GB2312" w:cs="仿宋_GB2312" w:eastAsia="仿宋_GB2312"/>
                <w:sz w:val="32"/>
              </w:rPr>
              <w:t>二、互联网不良信息包括：</w:t>
            </w:r>
          </w:p>
          <w:p>
            <w:pPr>
              <w:pStyle w:val="null3"/>
              <w:ind w:left="645"/>
              <w:jc w:val="both"/>
            </w:pPr>
            <w:r>
              <w:rPr>
                <w:rFonts w:ascii="仿宋_GB2312" w:hAnsi="仿宋_GB2312" w:cs="仿宋_GB2312" w:eastAsia="仿宋_GB2312"/>
                <w:sz w:val="32"/>
              </w:rPr>
              <w:t>（一）使用夸张标题，内容与标题严重不符的；</w:t>
            </w:r>
          </w:p>
          <w:p>
            <w:pPr>
              <w:pStyle w:val="null3"/>
              <w:ind w:left="645"/>
              <w:jc w:val="both"/>
            </w:pPr>
            <w:r>
              <w:rPr>
                <w:rFonts w:ascii="仿宋_GB2312" w:hAnsi="仿宋_GB2312" w:cs="仿宋_GB2312" w:eastAsia="仿宋_GB2312"/>
                <w:sz w:val="32"/>
              </w:rPr>
              <w:t>（二）炒作绯闻、丑闻、劣迹等的；</w:t>
            </w:r>
          </w:p>
          <w:p>
            <w:pPr>
              <w:pStyle w:val="null3"/>
              <w:ind w:left="645"/>
              <w:jc w:val="both"/>
            </w:pPr>
            <w:r>
              <w:rPr>
                <w:rFonts w:ascii="仿宋_GB2312" w:hAnsi="仿宋_GB2312" w:cs="仿宋_GB2312" w:eastAsia="仿宋_GB2312"/>
                <w:sz w:val="32"/>
              </w:rPr>
              <w:t>（三）不当评述自然灾害、重大事故等灾难的；</w:t>
            </w:r>
          </w:p>
          <w:p>
            <w:pPr>
              <w:pStyle w:val="null3"/>
              <w:ind w:left="645"/>
              <w:jc w:val="both"/>
            </w:pPr>
            <w:r>
              <w:rPr>
                <w:rFonts w:ascii="仿宋_GB2312" w:hAnsi="仿宋_GB2312" w:cs="仿宋_GB2312" w:eastAsia="仿宋_GB2312"/>
                <w:sz w:val="32"/>
              </w:rPr>
              <w:t>（四）带有性暗示、性挑逗等易使人产生性联想的；</w:t>
            </w:r>
          </w:p>
          <w:p>
            <w:pPr>
              <w:pStyle w:val="null3"/>
              <w:ind w:left="645"/>
              <w:jc w:val="both"/>
            </w:pPr>
            <w:r>
              <w:rPr>
                <w:rFonts w:ascii="仿宋_GB2312" w:hAnsi="仿宋_GB2312" w:cs="仿宋_GB2312" w:eastAsia="仿宋_GB2312"/>
                <w:sz w:val="32"/>
              </w:rPr>
              <w:t>（五）展现血腥、惊悚、残忍等致人身心不适的；</w:t>
            </w:r>
          </w:p>
          <w:p>
            <w:pPr>
              <w:pStyle w:val="null3"/>
              <w:ind w:left="645"/>
              <w:jc w:val="both"/>
            </w:pPr>
            <w:r>
              <w:rPr>
                <w:rFonts w:ascii="仿宋_GB2312" w:hAnsi="仿宋_GB2312" w:cs="仿宋_GB2312" w:eastAsia="仿宋_GB2312"/>
                <w:sz w:val="32"/>
              </w:rPr>
              <w:t>（六）煽动人群歧视、地域歧视等的；</w:t>
            </w:r>
          </w:p>
          <w:p>
            <w:pPr>
              <w:pStyle w:val="null3"/>
              <w:ind w:left="645"/>
              <w:jc w:val="both"/>
            </w:pPr>
            <w:r>
              <w:rPr>
                <w:rFonts w:ascii="仿宋_GB2312" w:hAnsi="仿宋_GB2312" w:cs="仿宋_GB2312" w:eastAsia="仿宋_GB2312"/>
                <w:sz w:val="32"/>
              </w:rPr>
              <w:t>（七）宣扬低俗、庸俗、媚俗内容的；</w:t>
            </w:r>
          </w:p>
          <w:p>
            <w:pPr>
              <w:pStyle w:val="null3"/>
              <w:ind w:left="645"/>
              <w:jc w:val="both"/>
            </w:pPr>
            <w:r>
              <w:rPr>
                <w:rFonts w:ascii="仿宋_GB2312" w:hAnsi="仿宋_GB2312" w:cs="仿宋_GB2312" w:eastAsia="仿宋_GB2312"/>
                <w:sz w:val="32"/>
              </w:rPr>
              <w:t>（八）可能引发未成年人模仿不安全行为和违反社会公德行为、诱导未成年人不良嗜好等的；</w:t>
            </w:r>
          </w:p>
          <w:p>
            <w:pPr>
              <w:pStyle w:val="null3"/>
              <w:ind w:left="645"/>
              <w:jc w:val="both"/>
            </w:pPr>
            <w:r>
              <w:rPr>
                <w:rFonts w:ascii="仿宋_GB2312" w:hAnsi="仿宋_GB2312" w:cs="仿宋_GB2312" w:eastAsia="仿宋_GB2312"/>
                <w:sz w:val="32"/>
              </w:rPr>
              <w:t>（九）其他对网络生态造成不良影响的内容。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供应商根据采购人要求提供各阶段成果，采购人组织对项目各阶段产生的成果进行审核。具体以合同约定为准。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1、违约责任：详见合同条款。 2、合同争议的解决：详见合同条款。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1、甲方付款前，乙方需提供合法有效且与付款金额等额的增值税普通发票。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供应商需在项目电子化交易系统中按要求填写《投标函》完成承诺并提供以下资料进行电子签章。 1、具有独立承担民事责任能力的法人、其他组织或自然人：法人参与的提供合法有效的营业执照；其他组织参与的提供合法证明文件；自然人参与的提供其身份证明。 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存款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5、社会保障资金缴纳证明：提供磋商截止日前一年内已缴存的至少一个月的社会保障资金缴存单据或社保机构开具的社会保险参保缴费情况证明，依法不需要缴纳社会保障资金的单位应提供相关证明材料。 6、供应商参加政府采购活动前3年内在经营活动中没有重大违法记录的书面声明。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一年内在本单位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中小企业声明函 磋商报价表.docx 磋商方案说明书.docx 报价表 资格证明文件.docx 供应商承诺书.docx 响应文件封面 残疾人福利性单位声明函 其他资料.docx 标的清单 响应函 商务条款偏离表.docx 监狱企业的证明文件 服务应答表.docx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对本项目服务内容的整体认识与理解</w:t>
            </w:r>
          </w:p>
        </w:tc>
        <w:tc>
          <w:tcPr>
            <w:tcW w:type="dxa" w:w="2492"/>
          </w:tcPr>
          <w:p>
            <w:pPr>
              <w:pStyle w:val="null3"/>
            </w:pPr>
            <w:r>
              <w:rPr>
                <w:rFonts w:ascii="仿宋_GB2312" w:hAnsi="仿宋_GB2312" w:cs="仿宋_GB2312" w:eastAsia="仿宋_GB2312"/>
              </w:rPr>
              <w:t>供应商提供针对本项目服务内容的整体认识与理解： 1、整体认识全面、理解深刻，能够准确把握并分析项目目标，得15分； 2、整体认识较为全面，理解较为深刻，能够对项目目标进行较为准确分析，得10分； 3、整体认识简单、理解较浅，对项目目标有一定的针对性分析，得8分； 4、整体认识笼统，不能准确理解项目概况及目标，得5分； 5、整体认识无针对性，分析理解差，得2分； 6、未提供相关内容，得0分。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工作中的重点难点把握与分析</w:t>
            </w:r>
          </w:p>
        </w:tc>
        <w:tc>
          <w:tcPr>
            <w:tcW w:type="dxa" w:w="2492"/>
          </w:tcPr>
          <w:p>
            <w:pPr>
              <w:pStyle w:val="null3"/>
            </w:pPr>
            <w:r>
              <w:rPr>
                <w:rFonts w:ascii="仿宋_GB2312" w:hAnsi="仿宋_GB2312" w:cs="仿宋_GB2312" w:eastAsia="仿宋_GB2312"/>
              </w:rPr>
              <w:t>供应商提供针对本项目服务工作中的重点难点把握与分析： 1、结合项目情况，进行全面且客观的重点难点分析；且针对各风险点结合项目情况及项目特征，进行全面分析，针对各风险点有可行的操作建议和解决方案，得5分； 2、没有充分结合项目情况，针对大部分风险点有可行的操作建议和解决方案，得3分； 3、没有充分结合项目情况，针对少量风险点有可行的操作建议和解决方案，得1分。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互联网违法信息筛查方案</w:t>
            </w:r>
          </w:p>
        </w:tc>
        <w:tc>
          <w:tcPr>
            <w:tcW w:type="dxa" w:w="2492"/>
          </w:tcPr>
          <w:p>
            <w:pPr>
              <w:pStyle w:val="null3"/>
            </w:pPr>
            <w:r>
              <w:rPr>
                <w:rFonts w:ascii="仿宋_GB2312" w:hAnsi="仿宋_GB2312" w:cs="仿宋_GB2312" w:eastAsia="仿宋_GB2312"/>
              </w:rPr>
              <w:t>根据供应商提供的“互联网违法信息筛查方案”进行评审： 1、方案内容完整、合理、信息抓取及时、全面，得15分； 2、方案内容较完整、较合理、信息抓取较及时、较全面，得10分； 3、方案内容简单，有一定合理性、及时性，得7分； 4、方案内容简单，合理性、及时性一般，得5分； 5、方案内容完整性、合理性、及时性、全面性较差，得2分； 6、未提供相关内容，得0分。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互联网不良信息筛查方案</w:t>
            </w:r>
          </w:p>
        </w:tc>
        <w:tc>
          <w:tcPr>
            <w:tcW w:type="dxa" w:w="2492"/>
          </w:tcPr>
          <w:p>
            <w:pPr>
              <w:pStyle w:val="null3"/>
            </w:pPr>
            <w:r>
              <w:rPr>
                <w:rFonts w:ascii="仿宋_GB2312" w:hAnsi="仿宋_GB2312" w:cs="仿宋_GB2312" w:eastAsia="仿宋_GB2312"/>
              </w:rPr>
              <w:t>根据供应商提供的“互联网不良信息筛查方案”进行评审： 1、方案内容完整、合理、信息抓取及时、全面，得15分； 2、方案内容较完整、较合理、信息抓取较及时、较全面，得10分； 3、方案内容简单，有一定合理性、及时性，得7分； 4、方案内容简单，合理性、及时性一般，得5分； 5、方案内容完整性、合理性、及时性、全面性较差，得2分； 6、未提供相关内容，得0分。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1、团队成员配置、相关项目服务经验、互联网违法和不良信息筛查和分析能力： （1）团队成员配置合理，团队成员90%（含）以上具有互联网违法和不良信息筛查和分析能力，团队成员具备3(含)个以上似项目服务经验，得5分； （2）团队成员配置基本合理，团队成员80%（含）～90%具有互联网违法和不良信息筛查和分析能力，团队成员具备1(含)个以上类似项目服务经验，得3分； （3）团队成员配置不够完善，80%以下具有互联网违法和不良信息筛查和分析能力，团队成员无类似项目服务经验，得1分； （4）其他情况或未提供相关证明材料（项目合同或报告或其他材料，证明材料中须体现团队成员信息），得0分。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2、团队成员学历：团队成员须3人及以上，且拟派人员50%及以上拥有本科学历背景。满足要求得2分；不满足要求，此项得0分。 备注：提供相关证明资料，未提供不得分。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人员配备3</w:t>
            </w:r>
          </w:p>
        </w:tc>
        <w:tc>
          <w:tcPr>
            <w:tcW w:type="dxa" w:w="2492"/>
          </w:tcPr>
          <w:p>
            <w:pPr>
              <w:pStyle w:val="null3"/>
            </w:pPr>
            <w:r>
              <w:rPr>
                <w:rFonts w:ascii="仿宋_GB2312" w:hAnsi="仿宋_GB2312" w:cs="仿宋_GB2312" w:eastAsia="仿宋_GB2312"/>
              </w:rPr>
              <w:t>3、承诺： （1）供应商需承诺以上拟派人员均为投入本项目工作人员，并提供拟投入的各类人员学历、相关工作履历说明等。 （2）供应商应保证服务团队的人员稳定，保证年度服务合作过程中服务人员在合同期限内不得更换。 （3）采购方在项目进场前有权对投入人员的真实性查实，若与承诺不一致，则视为虚假响应，采购方有权终止合同。 备注：每有一项符合要求的承诺及证明材料（如要求）得1分，满分3分。未提供承诺或承诺不全或未按要求提供证明材料的对应项不得分。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突发事件应对方案</w:t>
            </w:r>
          </w:p>
        </w:tc>
        <w:tc>
          <w:tcPr>
            <w:tcW w:type="dxa" w:w="2492"/>
          </w:tcPr>
          <w:p>
            <w:pPr>
              <w:pStyle w:val="null3"/>
            </w:pPr>
            <w:r>
              <w:rPr>
                <w:rFonts w:ascii="仿宋_GB2312" w:hAnsi="仿宋_GB2312" w:cs="仿宋_GB2312" w:eastAsia="仿宋_GB2312"/>
              </w:rPr>
              <w:t>根据供应商提供的突发事件应对方案进行评审，方案应能够反映出供应商面对突发网络信息事件时的处理能力及经验，同时能够为采购人提供专业的咨询指导及意见建议。 1、方案内容制定完善、科学合理可行，能够完全满足项目需要，且处理突发事件的经验丰富、具备很强的危机管理能力，得10分； 2、方案内容制定较完善、较科学合理可行，能够满足项目需要，且处理突发事件的经验较丰富、具备较强的危机管理能力，得8分； 3、方案内容制定能基本满足项目需要，科学合理可行性一般、处理突发事件的经验危机管理能力一般，得5分； 4、方案内容简单笼统，针对性欠缺，突发事件及危机处理经验缺乏，得2分；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供应商针对本项目有明确的服务承诺和合理化建议。 1、承诺、建议全面具体、切实可行，得5分； 2、承诺、建议较具体，有一定的可行性，得3分； 3、承诺、建议内容简单笼统，无针对性和可行性，得1分。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供应商针对本项目有具体的保密方案。 1、保密方案内容详细完整、针对性强、符合项目保密要求，得5分； 2、保密方案内容基本满足项目要求、基本完整，得3分； 3、保密方案一般，不能完全满足项目保密要求，得1分；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提供供应商2022年10月1日至磋商截止日(以合同签订日期为准）类似项目业绩（以合同复印件为准），每提供一份有效业绩得2分，最高得10分。若提供虚假业绩，一经发现，按无效磋商处理。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