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版本号：SXZHZB2025-ZC041-CS20251125001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次支路微改造系统治理工程-电子三路</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SXZHZB2025-ZC041-CS</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次支路微改造系统治理工程-电子三路</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SXZHZB2025-ZC041-CS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次支路微改造系统治理工程-电子三路</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本项目建设地点位于西安市雁塔区电子三路，主要改造内容包括：道路工程、交通安全设施工程、交通管理设施工程、排水工程、照明工程、绿化工程等。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采购包1（次支路微改造系统治理工程-电子三路）：属于专门面向中小企业采购。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3、资格证书：供应商须具备建设行政主管部门颁发的市政公用工程施工总承包三级及以上资质，且具备合格有效的安全生产许可证；</w:t>
      </w:r>
    </w:p>
    <w:p>
      <w:pPr>
        <w:pStyle w:val="null3"/>
      </w:pPr>
      <w:r>
        <w:rPr>
          <w:rFonts w:ascii="仿宋_GB2312" w:hAnsi="仿宋_GB2312" w:cs="仿宋_GB2312" w:eastAsia="仿宋_GB2312"/>
        </w:rPr>
        <w:t>4、拟派项目经理资质和专业要求：拟派项目经理具备市政公用工程专业注册建造师二级及以上执业资格及其本人具有有效的安全生产考核合格证（建安B证），在本单位注册且无在建工程；</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029-83698160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颁发的《招标代理服务收费管理暂行办法》（计价格〔2002〕1980号）和财政部颁发的《政府采购代理机构管理暂行办法》（财库〔2018〕2号）的有关规定执行。 3、成交单位的代理服务费交纳信息 开户名称：陕西纵横项目管理有限公司 开户银行：浙商银行股份有限公司西安未央路支行 账 号：7910000610120100029478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联系电话：029-86252018</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3,041,460.76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次支路微改造系统治理工程-电子三路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标的名称：次支路微改造系统治理工程-电子三路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1、项目概况及采购内容：主要改造内容包括：道路工程、交通安全设施工程、交通管理设施工程、排水工程、照明工程、绿化工程等。</w:t>
            </w:r>
          </w:p>
          <w:p>
            <w:pPr>
              <w:pStyle w:val="null3"/>
            </w:pPr>
            <w:r>
              <w:rPr>
                <w:rFonts w:ascii="仿宋_GB2312" w:hAnsi="仿宋_GB2312" w:cs="仿宋_GB2312" w:eastAsia="仿宋_GB2312"/>
              </w:rPr>
              <w:t>2、计划工期：自合同签订之日起60日历天。</w:t>
            </w:r>
          </w:p>
          <w:p>
            <w:pPr>
              <w:pStyle w:val="null3"/>
            </w:pPr>
            <w:r>
              <w:rPr>
                <w:rFonts w:ascii="仿宋_GB2312" w:hAnsi="仿宋_GB2312" w:cs="仿宋_GB2312" w:eastAsia="仿宋_GB2312"/>
              </w:rPr>
              <w:t>3、施工地点：建设地点位于西安市雁塔区电子三路。</w:t>
            </w:r>
          </w:p>
          <w:p>
            <w:pPr>
              <w:pStyle w:val="null3"/>
            </w:pPr>
            <w:r>
              <w:rPr>
                <w:rFonts w:ascii="仿宋_GB2312" w:hAnsi="仿宋_GB2312" w:cs="仿宋_GB2312" w:eastAsia="仿宋_GB2312"/>
              </w:rPr>
              <w:t>4、质量标准：合格。</w:t>
            </w:r>
          </w:p>
          <w:p>
            <w:pPr>
              <w:pStyle w:val="null3"/>
            </w:pPr>
            <w:r>
              <w:rPr>
                <w:rFonts w:ascii="仿宋_GB2312" w:hAnsi="仿宋_GB2312" w:cs="仿宋_GB2312" w:eastAsia="仿宋_GB2312"/>
              </w:rPr>
              <w:t>5、缺陷责任期（工程质量保修期）：工程竣工验收合格后2年，成交人承诺的质保期起始时间为终验合格之日。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在施工期间，中标供应商必须严格按照治污减霾相关要求施工，并加强安全措施，并对施工人员进行安全教育，施工人员必须持证上岗。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合同价款应是采购范围内全部工作内容的价格体现。包括人工费、材料费、机械费、设备费、安装费、管理费、社保费、成交代理服务费、税金等其他一切相关费用。供应商所报的价格应考虑到可能发生的所有与完成本项目相关服务及履行合同义务有关的一切费用。任何有选择的报价将不予接受，按无效磋商处理。 （2）项目属性：工程。 （3）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（4）履约验收：涉及履约验收的，验收费用由中标人支付，费用标准按中标金额的5‰计算，不足5000元的，按5000元收取。 （5）本工程采用广联达云计价平台GCCP7.0(版本:7.5000.23.2)，已标价工程量清单包括投标总价、投标报价说明（不得违背竞争性磋商文件中关于报价内容的相关约定）、工程量清单计价表、工程项目总造价表、单项工程造价汇总表、单位工程造价汇总表、分部分项工程量清单计价表、措施项目清单计价表、其他项目清单计价表、规费、税金项目清单计价表、主要材料价格表等。 （6）若为授权代表参加磋商，响应文件中需提供被授权代表开标前三个月内任意一个月在本单位的社保缴纳证明。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拟派项目经理具备市政公用工程专业注册建造师二级及以上执业资格及其本人具有有效的安全生产考核合格证（建安B证），在本单位注册且无在建工程；</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施工组织设计 中小企业声明函 业绩 商务条款偏离表 响应文件封面 资格证明文件 残疾人福利性单位声明函 报价函 其它说明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内容至少包括:①施工成本目标、工期目标、质量目标； ②施工准备； ③施工平面布置与安排。 评审标准：内容全面详细、阐述条理清晰详尽、符合本项目采购需求，得9分；每缺一项扣3分，存在不足的扣0.1-2.9分。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内容至少包括:①施工方案概述；②施工范围和服务内容；③施工标准。 评审标准：内容全面详细、阐述条理清晰详尽、符合本项目采购需求，得9分；每缺一项扣3分，存在不足的扣0.1-2.9分。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内容至少包括:①材料与设备质量控制；②施工技术准备、施工过程质量监控、技术创新与工艺优化措施。 评审标准：内容全面详细、阐述条理清晰详尽、符合本项目采购需求，得4分；每缺一项扣2分，存在不足的扣0.1-1.9分。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安全生产的技术组织措施</w:t>
            </w:r>
          </w:p>
        </w:tc>
        <w:tc>
          <w:tcPr>
            <w:tcW w:type="dxa" w:w="2492"/>
          </w:tcPr>
          <w:p>
            <w:pPr>
              <w:pStyle w:val="null3"/>
            </w:pPr>
            <w:r>
              <w:rPr>
                <w:rFonts w:ascii="仿宋_GB2312" w:hAnsi="仿宋_GB2312" w:cs="仿宋_GB2312" w:eastAsia="仿宋_GB2312"/>
              </w:rPr>
              <w:t>内容至少包括:①安全防护设施规范设置；②机械设备安全管理、责任体系与管理制度措施。 评审标准：内容全面详细、阐述条理清晰详尽、符合本项目采购需求，得6分；每缺一项扣3分，存在不足的扣0.1-2.9分。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内容至少包括:①工期目标规划；②施工总进度计划实施工具方案。 评审标准：内容全面详细、阐述条理清晰详尽、符合本项目采购需求，得6分；每缺一项扣3分，存在不足的扣0.1-2.9分。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内容至少包括:①管理体系构建、场地标准化；②扬尘污染控制、噪声与振动管控措施。 评审标准：内容全面详细、阐述条理清晰详尽、符合本项目采购需求，得6分；每缺一项扣3分，存在不足的扣0.1-2.9分。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内容至少包括：①项目团队设置方案；②团队人员职能分工；③职责划分方案；④人员培训。 评审标准：团队机构设置合理、团队人员职责划分明确、团队配置满足项目情况及需要，人员专业能力能有效保障项目服务质量。内容描述详细，架构清晰的得8分，评审内容每缺一项扣2分，存在不足的扣0.1-1.9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内容至少包括:①主要机械设备配备；②劳动力配置；③联动保障机制方案。 评审标准：内容全面详细、阐述条理清晰详尽、符合本项目采购需求，得6分；每缺一项扣2分，存在不足的扣0.1-1.9分。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内容至少包括:①技术难点分享方案；②协调管理。 评审标准：内容全面详细、阐述条理清晰详尽、符合本项目采购需求，得5分；每缺一项扣2.5分，存在不足的扣0.1-2.4分。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内容至少包括：①突发事件处理；②恶劣天气影响；③应急响应安排。 评审标准：内容全面详细、阐述条理清晰详尽、符合本项目采购需求，得6分；每缺一项扣2分，存在不足的扣0.1-1.9分。 备注：评审内容“缺陷”是指：内容不完整或缺少关键点；非专门针对本项目或不适用本项目特性、套用其他项目进度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提供2022年10月1日至今类似项目（以合同签订日期为准，提供合同协议书或中标（成交）通知书复印件），每份有效业绩得2.5分，满分5分。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