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版本号：QCZB-2025-04420251127001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雁南国际荟项目东侧车马坑文物保护及展开方案编制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QCZB-2025-044</w:t>
      </w:r>
      <w:r>
        <w:br/>
      </w:r>
      <w:r>
        <w:br/>
      </w:r>
      <w:r>
        <w:br/>
      </w:r>
    </w:p>
    <w:p>
      <w:pPr>
        <w:pStyle w:val="null3"/>
        <w:jc w:val="center"/>
        <w:outlineLvl w:val="2"/>
      </w:pPr>
      <w:r>
        <w:rPr>
          <w:rFonts w:ascii="仿宋_GB2312" w:hAnsi="仿宋_GB2312" w:cs="仿宋_GB2312" w:eastAsia="仿宋_GB2312"/>
          <w:sz w:val="28"/>
          <w:b/>
        </w:rPr>
        <w:t>西安市自然资源和规划局雁塔分局</w:t>
      </w:r>
    </w:p>
    <w:p>
      <w:pPr>
        <w:pStyle w:val="null3"/>
        <w:jc w:val="center"/>
        <w:outlineLvl w:val="2"/>
      </w:pPr>
      <w:r>
        <w:rPr>
          <w:rFonts w:ascii="仿宋_GB2312" w:hAnsi="仿宋_GB2312" w:cs="仿宋_GB2312" w:eastAsia="仿宋_GB2312"/>
          <w:sz w:val="28"/>
          <w:b/>
        </w:rPr>
        <w:t>陕西乾畅工程项目管理有限公司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陕西乾畅工程项目管理有限公司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西安市自然资源和规划局雁塔分局</w:t>
      </w:r>
      <w:r>
        <w:rPr>
          <w:rFonts w:ascii="仿宋_GB2312" w:hAnsi="仿宋_GB2312" w:cs="仿宋_GB2312" w:eastAsia="仿宋_GB2312"/>
        </w:rPr>
        <w:t>委托，拟对</w:t>
      </w:r>
      <w:r>
        <w:rPr>
          <w:rFonts w:ascii="仿宋_GB2312" w:hAnsi="仿宋_GB2312" w:cs="仿宋_GB2312" w:eastAsia="仿宋_GB2312"/>
        </w:rPr>
        <w:t>雁南国际荟项目东侧车马坑文物保护及展开方案编制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QCZB-2025-044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雁南国际荟项目东侧车马坑文物保护及展开方案编制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雁南国际荟项目东侧车马坑文物保护及展开方案编制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采购包1（雁南国际荟项目东侧车马坑文物保护及展开方案编制）：属于专门面向中小企业采购。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 ，自然人参与的提供其身份证明。</w:t>
      </w:r>
    </w:p>
    <w:p>
      <w:pPr>
        <w:pStyle w:val="null3"/>
      </w:pPr>
      <w:r>
        <w:rPr>
          <w:rFonts w:ascii="仿宋_GB2312" w:hAnsi="仿宋_GB2312" w:cs="仿宋_GB2312" w:eastAsia="仿宋_GB2312"/>
        </w:rPr>
        <w:t>2、法定代表人身份证明书/法定代表人授权书：法定代表人直接参加投标的，须出具法人身份证明及身份证扫描件；法定代表人授权代表参加投标的，须出具法定代表人授权书及授权代表身份证扫描件。</w:t>
      </w:r>
    </w:p>
    <w:p>
      <w:pPr>
        <w:pStyle w:val="null3"/>
      </w:pPr>
      <w:r>
        <w:rPr>
          <w:rFonts w:ascii="仿宋_GB2312" w:hAnsi="仿宋_GB2312" w:cs="仿宋_GB2312" w:eastAsia="仿宋_GB2312"/>
        </w:rPr>
        <w:t>3、资质：供应商具有文物保护工程勘察设计乙级资质（含乙级）及以上资质证书。</w:t>
      </w:r>
    </w:p>
    <w:p>
      <w:pPr>
        <w:pStyle w:val="null3"/>
      </w:pPr>
      <w:r>
        <w:rPr>
          <w:rFonts w:ascii="仿宋_GB2312" w:hAnsi="仿宋_GB2312" w:cs="仿宋_GB2312" w:eastAsia="仿宋_GB2312"/>
        </w:rPr>
        <w:t>4、项目负责人资质证书：项目负责人具有相应从业范围的资质证书。</w:t>
      </w:r>
    </w:p>
    <w:p>
      <w:pPr>
        <w:pStyle w:val="null3"/>
      </w:pPr>
      <w:r>
        <w:rPr>
          <w:rFonts w:ascii="仿宋_GB2312" w:hAnsi="仿宋_GB2312" w:cs="仿宋_GB2312" w:eastAsia="仿宋_GB2312"/>
        </w:rPr>
        <w:t>5、政府采购活动前3年内在经营活动中没有重大违法记录的书面声明：具备良好的商业信誉，参加政府采购活动前3年内在经营活动中没有重大违法记录的书面声明。</w:t>
      </w:r>
    </w:p>
    <w:p>
      <w:pPr>
        <w:pStyle w:val="null3"/>
      </w:pPr>
      <w:r>
        <w:rPr>
          <w:rFonts w:ascii="仿宋_GB2312" w:hAnsi="仿宋_GB2312" w:cs="仿宋_GB2312" w:eastAsia="仿宋_GB2312"/>
        </w:rPr>
        <w:t>6、财务审计报告/资信证明：供应商提供2023或2024年完整的财务审计报告（至少包括资产负债表和利润表，成立时间至提交响 应文件截止时间不足一年的可提供成立后任意时段的资产负债表），或其开标前六个月内银行开具的资信证明。</w:t>
      </w:r>
    </w:p>
    <w:p>
      <w:pPr>
        <w:pStyle w:val="null3"/>
      </w:pPr>
      <w:r>
        <w:rPr>
          <w:rFonts w:ascii="仿宋_GB2312" w:hAnsi="仿宋_GB2312" w:cs="仿宋_GB2312" w:eastAsia="仿宋_GB2312"/>
        </w:rPr>
        <w:t>7、社会保险参保缴费情况证明：供应商提供已缴存的2024年1月至今任意一个月的社会保障资金缴存单据或社保机构开具的社会保险参保缴费情况证明，单据或证明上应有社保机构或代收机构的公章。依法不需要缴纳社会保障资金的供应商应提关文件证明。</w:t>
      </w:r>
    </w:p>
    <w:p>
      <w:pPr>
        <w:pStyle w:val="null3"/>
      </w:pPr>
      <w:r>
        <w:rPr>
          <w:rFonts w:ascii="仿宋_GB2312" w:hAnsi="仿宋_GB2312" w:cs="仿宋_GB2312" w:eastAsia="仿宋_GB2312"/>
        </w:rPr>
        <w:t>8、完税证明：供应商提供已缴纳的2024年1月至今任意一个月的纳税证明或完税证明， 纳税证明或完税证明上应有代收机构或税务机关的公章。依法免税的供应商应提供相关文件证明。</w:t>
      </w:r>
    </w:p>
    <w:p>
      <w:pPr>
        <w:pStyle w:val="null3"/>
      </w:pPr>
      <w:r>
        <w:rPr>
          <w:rFonts w:ascii="仿宋_GB2312" w:hAnsi="仿宋_GB2312" w:cs="仿宋_GB2312" w:eastAsia="仿宋_GB2312"/>
        </w:rPr>
        <w:t>9、具有履行合同所必需的设备和专业技术能力承诺书：具有履行合同所必需的设备和专业技术能力承诺书。</w:t>
      </w:r>
    </w:p>
    <w:p>
      <w:pPr>
        <w:pStyle w:val="null3"/>
      </w:pPr>
      <w:r>
        <w:rPr>
          <w:rFonts w:ascii="仿宋_GB2312" w:hAnsi="仿宋_GB2312" w:cs="仿宋_GB2312" w:eastAsia="仿宋_GB2312"/>
        </w:rPr>
        <w:t>10、单位负责人为同一人或者存在直接控股、管理关系的不同供应商不得参加同一合同项下的政府采购活动承诺书：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pPr>
        <w:pStyle w:val="null3"/>
      </w:pPr>
      <w:r>
        <w:rPr>
          <w:rFonts w:ascii="仿宋_GB2312" w:hAnsi="仿宋_GB2312" w:cs="仿宋_GB2312" w:eastAsia="仿宋_GB2312"/>
        </w:rPr>
        <w:t>11、信用截图：供应商提供不得为“信用中国”网站(http://www.creditchina.gov.cn)列入“失信被执行人（页面跳转至“中国执行信息公开网”http://zxgk.court.gov.cn/shixin/）、重大税收违法失信主体”的投标人；不得为中国政府采购网(http://www.ccgp.gov.cn)“政府采购严重违法失信行为记录名单”的投标人。</w:t>
      </w:r>
    </w:p>
    <w:p>
      <w:pPr>
        <w:pStyle w:val="null3"/>
      </w:pPr>
      <w:r>
        <w:rPr>
          <w:rFonts w:ascii="仿宋_GB2312" w:hAnsi="仿宋_GB2312" w:cs="仿宋_GB2312" w:eastAsia="仿宋_GB2312"/>
        </w:rPr>
        <w:t>12、中小企业声明函：本项目专门面向中小企业。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西安市自然资源和规划局雁塔分局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健康东路6号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029-82563777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陕西乾畅工程项目管理有限公司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西安市雁塔区太白南路5号紫薇尚层西一楼一单元605室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19209375233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西安市自然资源和规划局雁塔分局</w:t>
      </w:r>
      <w:r>
        <w:rPr>
          <w:rFonts w:ascii="仿宋_GB2312" w:hAnsi="仿宋_GB2312" w:cs="仿宋_GB2312" w:eastAsia="仿宋_GB2312"/>
        </w:rPr>
        <w:t>和</w:t>
      </w:r>
      <w:r>
        <w:rPr>
          <w:rFonts w:ascii="仿宋_GB2312" w:hAnsi="仿宋_GB2312" w:cs="仿宋_GB2312" w:eastAsia="仿宋_GB2312"/>
        </w:rPr>
        <w:t>陕西乾畅工程项目管理有限公司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西安市自然资源和规划局雁塔分局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陕西乾畅工程项目管理有限公司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西安市自然资源和规划局雁塔分局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陕西乾畅工程项目管理有限公司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详见签订合同文本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联系人：卢鹏</w:t>
      </w:r>
    </w:p>
    <w:p>
      <w:pPr>
        <w:pStyle w:val="null3"/>
      </w:pPr>
      <w:r>
        <w:rPr>
          <w:rFonts w:ascii="仿宋_GB2312" w:hAnsi="仿宋_GB2312" w:cs="仿宋_GB2312" w:eastAsia="仿宋_GB2312"/>
        </w:rPr>
        <w:t>联系电话：19209375233</w:t>
      </w:r>
    </w:p>
    <w:p>
      <w:pPr>
        <w:pStyle w:val="null3"/>
      </w:pPr>
      <w:r>
        <w:rPr>
          <w:rFonts w:ascii="仿宋_GB2312" w:hAnsi="仿宋_GB2312" w:cs="仿宋_GB2312" w:eastAsia="仿宋_GB2312"/>
        </w:rPr>
        <w:t>地址：西安市雁塔区太白南路5号紫薇尚层西一楼一单元605室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雁南国际荟项目东侧车马坑文物保护及展开方案编制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288,000.00</w:t>
      </w:r>
    </w:p>
    <w:p>
      <w:pPr>
        <w:pStyle w:val="null3"/>
      </w:pPr>
      <w:r>
        <w:rPr>
          <w:rFonts w:ascii="仿宋_GB2312" w:hAnsi="仿宋_GB2312" w:cs="仿宋_GB2312" w:eastAsia="仿宋_GB2312"/>
        </w:rPr>
        <w:t>采购包最高限价（元）: 288,000.00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雁南国际荟项目东侧车马坑文物保护及展开方案编制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标的名称：雁南国际荟项目东侧车马坑文物保护及展开方案编制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color w:val="000000"/>
              </w:rPr>
              <w:t>一、服务内容</w:t>
            </w:r>
          </w:p>
          <w:p>
            <w:pPr>
              <w:pStyle w:val="null3"/>
              <w:ind w:firstLine="480"/>
              <w:jc w:val="both"/>
            </w:pPr>
            <w:r>
              <w:rPr>
                <w:rFonts w:ascii="仿宋_GB2312" w:hAnsi="仿宋_GB2312" w:cs="仿宋_GB2312" w:eastAsia="仿宋_GB2312"/>
                <w:sz w:val="24"/>
                <w:color w:val="000000"/>
              </w:rPr>
              <w:t>对</w:t>
            </w:r>
            <w:r>
              <w:rPr>
                <w:rFonts w:ascii="仿宋_GB2312" w:hAnsi="仿宋_GB2312" w:cs="仿宋_GB2312" w:eastAsia="仿宋_GB2312"/>
                <w:sz w:val="24"/>
                <w:color w:val="000000"/>
              </w:rPr>
              <w:t>雁南国际荟项目东侧车马坑文物保护及展开方案编制</w:t>
            </w:r>
          </w:p>
          <w:p>
            <w:pPr>
              <w:pStyle w:val="null3"/>
              <w:jc w:val="both"/>
            </w:pPr>
            <w:r>
              <w:rPr>
                <w:rFonts w:ascii="仿宋_GB2312" w:hAnsi="仿宋_GB2312" w:cs="仿宋_GB2312" w:eastAsia="仿宋_GB2312"/>
                <w:sz w:val="24"/>
                <w:color w:val="000000"/>
              </w:rPr>
              <w:t>二、技术要求</w:t>
            </w:r>
          </w:p>
          <w:p>
            <w:pPr>
              <w:pStyle w:val="null3"/>
              <w:jc w:val="both"/>
            </w:pPr>
            <w:r>
              <w:rPr>
                <w:rFonts w:ascii="仿宋_GB2312" w:hAnsi="仿宋_GB2312" w:cs="仿宋_GB2312" w:eastAsia="仿宋_GB2312"/>
                <w:sz w:val="24"/>
              </w:rPr>
              <w:t>设计依据</w:t>
            </w:r>
          </w:p>
          <w:p>
            <w:pPr>
              <w:pStyle w:val="null3"/>
              <w:jc w:val="both"/>
            </w:pPr>
            <w:r>
              <w:rPr>
                <w:rFonts w:ascii="仿宋_GB2312" w:hAnsi="仿宋_GB2312" w:cs="仿宋_GB2312" w:eastAsia="仿宋_GB2312"/>
                <w:sz w:val="24"/>
              </w:rPr>
              <w:t>1、法规、准则、文件</w:t>
            </w:r>
          </w:p>
          <w:p>
            <w:pPr>
              <w:pStyle w:val="null3"/>
              <w:jc w:val="both"/>
            </w:pPr>
            <w:r>
              <w:rPr>
                <w:rFonts w:ascii="仿宋_GB2312" w:hAnsi="仿宋_GB2312" w:cs="仿宋_GB2312" w:eastAsia="仿宋_GB2312"/>
                <w:sz w:val="24"/>
              </w:rPr>
              <w:t>(1)《中华人民共和国文物保护法》(2024)</w:t>
            </w:r>
          </w:p>
          <w:p>
            <w:pPr>
              <w:pStyle w:val="null3"/>
              <w:jc w:val="both"/>
            </w:pPr>
            <w:r>
              <w:rPr>
                <w:rFonts w:ascii="仿宋_GB2312" w:hAnsi="仿宋_GB2312" w:cs="仿宋_GB2312" w:eastAsia="仿宋_GB2312"/>
                <w:sz w:val="24"/>
              </w:rPr>
              <w:t>(2)《中华人民共和国环境保护法》(2017)</w:t>
            </w:r>
          </w:p>
          <w:p>
            <w:pPr>
              <w:pStyle w:val="null3"/>
              <w:jc w:val="both"/>
            </w:pPr>
            <w:r>
              <w:rPr>
                <w:rFonts w:ascii="仿宋_GB2312" w:hAnsi="仿宋_GB2312" w:cs="仿宋_GB2312" w:eastAsia="仿宋_GB2312"/>
                <w:sz w:val="24"/>
              </w:rPr>
              <w:t>(3)《中国文物古迹保护准则》(2015);</w:t>
            </w:r>
          </w:p>
          <w:p>
            <w:pPr>
              <w:pStyle w:val="null3"/>
              <w:jc w:val="both"/>
            </w:pPr>
            <w:r>
              <w:rPr>
                <w:rFonts w:ascii="仿宋_GB2312" w:hAnsi="仿宋_GB2312" w:cs="仿宋_GB2312" w:eastAsia="仿宋_GB2312"/>
                <w:sz w:val="24"/>
              </w:rPr>
              <w:t>(4)《国际古迹保护与修复宪章》(1964)</w:t>
            </w:r>
          </w:p>
          <w:p>
            <w:pPr>
              <w:pStyle w:val="null3"/>
              <w:jc w:val="both"/>
            </w:pPr>
            <w:r>
              <w:rPr>
                <w:rFonts w:ascii="仿宋_GB2312" w:hAnsi="仿宋_GB2312" w:cs="仿宋_GB2312" w:eastAsia="仿宋_GB2312"/>
                <w:sz w:val="24"/>
              </w:rPr>
              <w:t>(5)《文物保护工程管理办法》(2003)。</w:t>
            </w:r>
          </w:p>
          <w:p>
            <w:pPr>
              <w:pStyle w:val="null3"/>
              <w:jc w:val="both"/>
            </w:pPr>
            <w:r>
              <w:rPr>
                <w:rFonts w:ascii="仿宋_GB2312" w:hAnsi="仿宋_GB2312" w:cs="仿宋_GB2312" w:eastAsia="仿宋_GB2312"/>
                <w:sz w:val="24"/>
              </w:rPr>
              <w:t>2、 技术规范及标准</w:t>
            </w:r>
          </w:p>
          <w:p>
            <w:pPr>
              <w:pStyle w:val="null3"/>
              <w:jc w:val="both"/>
            </w:pPr>
            <w:r>
              <w:rPr>
                <w:rFonts w:ascii="仿宋_GB2312" w:hAnsi="仿宋_GB2312" w:cs="仿宋_GB2312" w:eastAsia="仿宋_GB2312"/>
                <w:sz w:val="24"/>
              </w:rPr>
              <w:t>(1)《中国地震动参数区划图》(GB18306-2015)</w:t>
            </w:r>
          </w:p>
          <w:p>
            <w:pPr>
              <w:pStyle w:val="null3"/>
              <w:jc w:val="both"/>
            </w:pPr>
            <w:r>
              <w:rPr>
                <w:rFonts w:ascii="仿宋_GB2312" w:hAnsi="仿宋_GB2312" w:cs="仿宋_GB2312" w:eastAsia="仿宋_GB2312"/>
                <w:sz w:val="24"/>
              </w:rPr>
              <w:t>(2)《建筑地基基础设计规范》(GB50007-2011)</w:t>
            </w:r>
          </w:p>
          <w:p>
            <w:pPr>
              <w:pStyle w:val="null3"/>
              <w:jc w:val="both"/>
            </w:pPr>
            <w:r>
              <w:rPr>
                <w:rFonts w:ascii="仿宋_GB2312" w:hAnsi="仿宋_GB2312" w:cs="仿宋_GB2312" w:eastAsia="仿宋_GB2312"/>
                <w:sz w:val="24"/>
              </w:rPr>
              <w:t>(3)国务院《地质灾害防治条例》;</w:t>
            </w:r>
          </w:p>
          <w:p>
            <w:pPr>
              <w:pStyle w:val="null3"/>
              <w:jc w:val="both"/>
            </w:pPr>
            <w:r>
              <w:rPr>
                <w:rFonts w:ascii="仿宋_GB2312" w:hAnsi="仿宋_GB2312" w:cs="仿宋_GB2312" w:eastAsia="仿宋_GB2312"/>
                <w:sz w:val="24"/>
              </w:rPr>
              <w:t>(4)《建筑抗震设计规范》(GB 50011-2010);</w:t>
            </w:r>
          </w:p>
          <w:p>
            <w:pPr>
              <w:pStyle w:val="null3"/>
              <w:jc w:val="both"/>
            </w:pPr>
            <w:r>
              <w:rPr>
                <w:rFonts w:ascii="仿宋_GB2312" w:hAnsi="仿宋_GB2312" w:cs="仿宋_GB2312" w:eastAsia="仿宋_GB2312"/>
                <w:sz w:val="24"/>
              </w:rPr>
              <w:t>(5)《工程地质手册》第五版;</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文物</w:t>
            </w:r>
            <w:r>
              <w:rPr>
                <w:rFonts w:ascii="仿宋_GB2312" w:hAnsi="仿宋_GB2312" w:cs="仿宋_GB2312" w:eastAsia="仿宋_GB2312"/>
                <w:sz w:val="24"/>
              </w:rPr>
              <w:t>保</w:t>
            </w:r>
            <w:r>
              <w:rPr>
                <w:rFonts w:ascii="仿宋_GB2312" w:hAnsi="仿宋_GB2312" w:cs="仿宋_GB2312" w:eastAsia="仿宋_GB2312"/>
                <w:sz w:val="24"/>
              </w:rPr>
              <w:t>护工程设计文件编制深度要求</w:t>
            </w:r>
            <w:r>
              <w:rPr>
                <w:rFonts w:ascii="仿宋_GB2312" w:hAnsi="仿宋_GB2312" w:cs="仿宋_GB2312" w:eastAsia="仿宋_GB2312"/>
                <w:sz w:val="24"/>
              </w:rPr>
              <w:t>(试行)》办保函[2013]375 号;</w:t>
            </w:r>
          </w:p>
          <w:p>
            <w:pPr>
              <w:pStyle w:val="null3"/>
              <w:jc w:val="both"/>
            </w:pPr>
            <w:r>
              <w:rPr>
                <w:rFonts w:ascii="仿宋_GB2312" w:hAnsi="仿宋_GB2312" w:cs="仿宋_GB2312" w:eastAsia="仿宋_GB2312"/>
                <w:sz w:val="24"/>
              </w:rPr>
              <w:t>(7)《土遗址保护工程勘察规范》WW</w:t>
            </w:r>
            <w:r>
              <w:rPr>
                <w:rFonts w:ascii="仿宋_GB2312" w:hAnsi="仿宋_GB2312" w:cs="仿宋_GB2312" w:eastAsia="仿宋_GB2312"/>
                <w:sz w:val="24"/>
              </w:rPr>
              <w:t xml:space="preserve">/T </w:t>
            </w:r>
            <w:r>
              <w:rPr>
                <w:rFonts w:ascii="仿宋_GB2312" w:hAnsi="仿宋_GB2312" w:cs="仿宋_GB2312" w:eastAsia="仿宋_GB2312"/>
                <w:sz w:val="24"/>
              </w:rPr>
              <w:t>0040-2012;</w:t>
            </w:r>
          </w:p>
          <w:p>
            <w:pPr>
              <w:pStyle w:val="null3"/>
              <w:jc w:val="both"/>
            </w:pPr>
            <w:r>
              <w:rPr>
                <w:rFonts w:ascii="仿宋_GB2312" w:hAnsi="仿宋_GB2312" w:cs="仿宋_GB2312" w:eastAsia="仿宋_GB2312"/>
                <w:sz w:val="24"/>
              </w:rPr>
              <w:t>(8)《干燥环境土墙体保护加固设计规范》GB</w:t>
            </w:r>
            <w:r>
              <w:rPr>
                <w:rFonts w:ascii="仿宋_GB2312" w:hAnsi="仿宋_GB2312" w:cs="仿宋_GB2312" w:eastAsia="仿宋_GB2312"/>
                <w:sz w:val="24"/>
              </w:rPr>
              <w:t>/T</w:t>
            </w:r>
            <w:r>
              <w:rPr>
                <w:rFonts w:ascii="仿宋_GB2312" w:hAnsi="仿宋_GB2312" w:cs="仿宋_GB2312" w:eastAsia="仿宋_GB2312"/>
                <w:sz w:val="24"/>
              </w:rPr>
              <w:t xml:space="preserve"> </w:t>
            </w:r>
            <w:r>
              <w:rPr>
                <w:rFonts w:ascii="仿宋_GB2312" w:hAnsi="仿宋_GB2312" w:cs="仿宋_GB2312" w:eastAsia="仿宋_GB2312"/>
                <w:sz w:val="24"/>
              </w:rPr>
              <w:t>36747-2018;</w:t>
            </w:r>
          </w:p>
          <w:p>
            <w:pPr>
              <w:pStyle w:val="null3"/>
              <w:jc w:val="both"/>
            </w:pPr>
            <w:r>
              <w:rPr>
                <w:rFonts w:ascii="仿宋_GB2312" w:hAnsi="仿宋_GB2312" w:cs="仿宋_GB2312" w:eastAsia="仿宋_GB2312"/>
                <w:sz w:val="24"/>
              </w:rPr>
              <w:t>(9)《土墙体保护试验技术规范》WW</w:t>
            </w:r>
            <w:r>
              <w:rPr>
                <w:rFonts w:ascii="仿宋_GB2312" w:hAnsi="仿宋_GB2312" w:cs="仿宋_GB2312" w:eastAsia="仿宋_GB2312"/>
                <w:sz w:val="24"/>
              </w:rPr>
              <w:t xml:space="preserve">/T </w:t>
            </w:r>
            <w:r>
              <w:rPr>
                <w:rFonts w:ascii="仿宋_GB2312" w:hAnsi="仿宋_GB2312" w:cs="仿宋_GB2312" w:eastAsia="仿宋_GB2312"/>
                <w:sz w:val="24"/>
              </w:rPr>
              <w:t>0039-2012.</w:t>
            </w:r>
          </w:p>
          <w:p>
            <w:pPr>
              <w:pStyle w:val="null3"/>
              <w:jc w:val="both"/>
            </w:pPr>
            <w:r>
              <w:rPr>
                <w:rFonts w:ascii="仿宋_GB2312" w:hAnsi="仿宋_GB2312" w:cs="仿宋_GB2312" w:eastAsia="仿宋_GB2312"/>
                <w:sz w:val="24"/>
              </w:rPr>
              <w:t>3、相关资料</w:t>
            </w:r>
          </w:p>
          <w:p>
            <w:pPr>
              <w:pStyle w:val="null3"/>
              <w:jc w:val="both"/>
            </w:pPr>
            <w:r>
              <w:rPr>
                <w:rFonts w:ascii="仿宋_GB2312" w:hAnsi="仿宋_GB2312" w:cs="仿宋_GB2312" w:eastAsia="仿宋_GB2312"/>
                <w:sz w:val="24"/>
              </w:rPr>
              <w:t>(1)YT2-25-140-2号宗地项目用地考古发掘平面图;</w:t>
            </w:r>
          </w:p>
          <w:p>
            <w:pPr>
              <w:pStyle w:val="null3"/>
              <w:jc w:val="both"/>
            </w:pPr>
            <w:r>
              <w:rPr>
                <w:rFonts w:ascii="仿宋_GB2312" w:hAnsi="仿宋_GB2312" w:cs="仿宋_GB2312" w:eastAsia="仿宋_GB2312"/>
                <w:sz w:val="24"/>
              </w:rPr>
              <w:t>(2)《陕西金地家宜置业有限公司西沣公元项目四期(DK-2-2)号宗地发掘报告》。</w:t>
            </w:r>
          </w:p>
          <w:p>
            <w:pPr>
              <w:pStyle w:val="null3"/>
              <w:jc w:val="both"/>
            </w:pPr>
            <w:r>
              <w:rPr>
                <w:rFonts w:ascii="仿宋_GB2312" w:hAnsi="仿宋_GB2312" w:cs="仿宋_GB2312" w:eastAsia="仿宋_GB2312"/>
                <w:sz w:val="24"/>
              </w:rPr>
              <w:t>设计原则</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真实性原则</w:t>
            </w:r>
            <w:r>
              <w:rPr>
                <w:rFonts w:ascii="仿宋_GB2312" w:hAnsi="仿宋_GB2312" w:cs="仿宋_GB2312" w:eastAsia="仿宋_GB2312"/>
                <w:sz w:val="24"/>
              </w:rPr>
              <w:t>——</w:t>
            </w:r>
            <w:r>
              <w:rPr>
                <w:rFonts w:ascii="仿宋_GB2312" w:hAnsi="仿宋_GB2312" w:cs="仿宋_GB2312" w:eastAsia="仿宋_GB2312"/>
                <w:sz w:val="24"/>
              </w:rPr>
              <w:t>遗址已发掘部分的全部遗存作为历史信息的真实载体，必须保证各部分不受破坏，篡改和移动。任何保护措施均应严格遵守不改变文物原状的原则，保持遗址的真实性。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完整性原则</w:t>
            </w:r>
            <w:r>
              <w:rPr>
                <w:rFonts w:ascii="仿宋_GB2312" w:hAnsi="仿宋_GB2312" w:cs="仿宋_GB2312" w:eastAsia="仿宋_GB2312"/>
                <w:sz w:val="24"/>
              </w:rPr>
              <w:t>——</w:t>
            </w:r>
            <w:r>
              <w:rPr>
                <w:rFonts w:ascii="仿宋_GB2312" w:hAnsi="仿宋_GB2312" w:cs="仿宋_GB2312" w:eastAsia="仿宋_GB2312"/>
                <w:sz w:val="24"/>
              </w:rPr>
              <w:t>对遗址本体、附属文物及与其密切相关的地貌</w:t>
            </w:r>
            <w:r>
              <w:rPr>
                <w:rFonts w:ascii="仿宋_GB2312" w:hAnsi="仿宋_GB2312" w:cs="仿宋_GB2312" w:eastAsia="仿宋_GB2312"/>
                <w:sz w:val="24"/>
              </w:rPr>
              <w:t>环境</w:t>
            </w:r>
            <w:r>
              <w:rPr>
                <w:rFonts w:ascii="仿宋_GB2312" w:hAnsi="仿宋_GB2312" w:cs="仿宋_GB2312" w:eastAsia="仿宋_GB2312"/>
                <w:sz w:val="24"/>
              </w:rPr>
              <w:t>进行整体保护。</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最少干预原则</w:t>
            </w:r>
            <w:r>
              <w:rPr>
                <w:rFonts w:ascii="仿宋_GB2312" w:hAnsi="仿宋_GB2312" w:cs="仿宋_GB2312" w:eastAsia="仿宋_GB2312"/>
                <w:sz w:val="24"/>
              </w:rPr>
              <w:t>——</w:t>
            </w:r>
            <w:r>
              <w:rPr>
                <w:rFonts w:ascii="仿宋_GB2312" w:hAnsi="仿宋_GB2312" w:cs="仿宋_GB2312" w:eastAsia="仿宋_GB2312"/>
                <w:sz w:val="24"/>
              </w:rPr>
              <w:t>迁移和回填过程尽量减少所使用的材料和工具对遗址的损伤性接触，避免产生保护性破坏。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可识别性原则</w:t>
            </w:r>
            <w:r>
              <w:rPr>
                <w:rFonts w:ascii="仿宋_GB2312" w:hAnsi="仿宋_GB2312" w:cs="仿宋_GB2312" w:eastAsia="仿宋_GB2312"/>
                <w:sz w:val="24"/>
              </w:rPr>
              <w:t>--保护措施应保持遗址的原有历史信息的可识别性，保证其与文物的原存部分有所区别。</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坚持</w:t>
            </w:r>
            <w:r>
              <w:rPr>
                <w:rFonts w:ascii="仿宋_GB2312" w:hAnsi="仿宋_GB2312" w:cs="仿宋_GB2312" w:eastAsia="仿宋_GB2312"/>
                <w:sz w:val="24"/>
              </w:rPr>
              <w:t>“保护为主，合理利用”的原则</w:t>
            </w:r>
            <w:r>
              <w:rPr>
                <w:rFonts w:ascii="仿宋_GB2312" w:hAnsi="仿宋_GB2312" w:cs="仿宋_GB2312" w:eastAsia="仿宋_GB2312"/>
                <w:sz w:val="24"/>
              </w:rPr>
              <w:t>——</w:t>
            </w:r>
            <w:r>
              <w:rPr>
                <w:rFonts w:ascii="仿宋_GB2312" w:hAnsi="仿宋_GB2312" w:cs="仿宋_GB2312" w:eastAsia="仿宋_GB2312"/>
                <w:sz w:val="24"/>
              </w:rPr>
              <w:t>迁移及回填工程应以确保遗址本体、相关环境安全为目的，在此原则要求下，注重文物保护措施的</w:t>
            </w:r>
            <w:r>
              <w:rPr>
                <w:rFonts w:ascii="仿宋_GB2312" w:hAnsi="仿宋_GB2312" w:cs="仿宋_GB2312" w:eastAsia="仿宋_GB2312"/>
                <w:sz w:val="24"/>
              </w:rPr>
              <w:t>“可持续性”</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可识别性</w:t>
            </w:r>
            <w:r>
              <w:rPr>
                <w:rFonts w:ascii="仿宋_GB2312" w:hAnsi="仿宋_GB2312" w:cs="仿宋_GB2312" w:eastAsia="仿宋_GB2312"/>
                <w:sz w:val="24"/>
              </w:rPr>
              <w:t>”以及“动态性”原则。</w:t>
            </w:r>
          </w:p>
          <w:p>
            <w:pPr>
              <w:pStyle w:val="null3"/>
              <w:jc w:val="both"/>
            </w:pPr>
            <w:r>
              <w:rPr>
                <w:rFonts w:ascii="仿宋_GB2312" w:hAnsi="仿宋_GB2312" w:cs="仿宋_GB2312" w:eastAsia="仿宋_GB2312"/>
                <w:sz w:val="24"/>
              </w:rPr>
              <w:t>三、成果文件</w:t>
            </w:r>
          </w:p>
          <w:p>
            <w:pPr>
              <w:pStyle w:val="null3"/>
              <w:jc w:val="both"/>
            </w:pPr>
            <w:r>
              <w:rPr>
                <w:rFonts w:ascii="仿宋_GB2312" w:hAnsi="仿宋_GB2312" w:cs="仿宋_GB2312" w:eastAsia="仿宋_GB2312"/>
                <w:sz w:val="24"/>
              </w:rPr>
              <w:t xml:space="preserve">  保护方案及说明</w:t>
            </w:r>
            <w:r>
              <w:rPr>
                <w:rFonts w:ascii="仿宋_GB2312" w:hAnsi="仿宋_GB2312" w:cs="仿宋_GB2312" w:eastAsia="仿宋_GB2312"/>
                <w:sz w:val="24"/>
              </w:rPr>
              <w:t>6份。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自合同签订后1个月。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符合国家、行业规范要求及采购人要求。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合同签订后，支付合同总价款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待技术成果报请主管部门完成最终验收工作并取得相关文物报告后，采购人向供应商支付剩余合同价款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详见签订合同文本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响应文件封面 残疾人福利性单位声明函 服务方案 标的清单 响应函 类似业绩.docx 其他证明资料.docx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响应函 资格证明文件.docx 其他证明资料.docx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 资格证明文件.docx 其他证明资料.docx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 其他证明资料.docx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法定代表人身份证明书/法定代表人授权书</w:t>
            </w:r>
          </w:p>
        </w:tc>
        <w:tc>
          <w:tcPr>
            <w:tcW w:type="dxa" w:w="3322"/>
          </w:tcPr>
          <w:p>
            <w:pPr>
              <w:pStyle w:val="null3"/>
            </w:pPr>
            <w:r>
              <w:rPr>
                <w:rFonts w:ascii="仿宋_GB2312" w:hAnsi="仿宋_GB2312" w:cs="仿宋_GB2312" w:eastAsia="仿宋_GB2312"/>
              </w:rPr>
              <w:t>法定代表人直接参加投标的，须出具法人身份证明及身份证扫描件；法定代表人授权代表参加投标的，须出具法定代表人授权书及授权代表身份证扫描件。</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供应商具有文物保护工程勘察设计乙级资质（含乙级）及以上资质证书。</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项目负责人资质证书</w:t>
            </w:r>
          </w:p>
        </w:tc>
        <w:tc>
          <w:tcPr>
            <w:tcW w:type="dxa" w:w="3322"/>
          </w:tcPr>
          <w:p>
            <w:pPr>
              <w:pStyle w:val="null3"/>
            </w:pPr>
            <w:r>
              <w:rPr>
                <w:rFonts w:ascii="仿宋_GB2312" w:hAnsi="仿宋_GB2312" w:cs="仿宋_GB2312" w:eastAsia="仿宋_GB2312"/>
              </w:rPr>
              <w:t>项目负责人具有相应从业范围的资质证书。</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政府采购活动前3年内在经营活动中没有重大违法记录的书面声明</w:t>
            </w:r>
          </w:p>
        </w:tc>
        <w:tc>
          <w:tcPr>
            <w:tcW w:type="dxa" w:w="3322"/>
          </w:tcPr>
          <w:p>
            <w:pPr>
              <w:pStyle w:val="null3"/>
            </w:pPr>
            <w:r>
              <w:rPr>
                <w:rFonts w:ascii="仿宋_GB2312" w:hAnsi="仿宋_GB2312" w:cs="仿宋_GB2312" w:eastAsia="仿宋_GB2312"/>
              </w:rPr>
              <w:t>具备良好的商业信誉，参加政府采购活动前3年内在经营活动中没有重大违法记录的书面声明。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财务审计报告/资信证明</w:t>
            </w:r>
          </w:p>
        </w:tc>
        <w:tc>
          <w:tcPr>
            <w:tcW w:type="dxa" w:w="3322"/>
          </w:tcPr>
          <w:p>
            <w:pPr>
              <w:pStyle w:val="null3"/>
            </w:pPr>
            <w:r>
              <w:rPr>
                <w:rFonts w:ascii="仿宋_GB2312" w:hAnsi="仿宋_GB2312" w:cs="仿宋_GB2312" w:eastAsia="仿宋_GB2312"/>
              </w:rPr>
              <w:t>供应商提供2023或2024年完整的财务审计报告（至少包括资产负债表和利润表，成立时间至提交响 应文件截止时间不足一年的可提供成立后任意时段的资产负债表），或其开标前六个月内银行开具的资信证明。</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社会保险参保缴费情况证明</w:t>
            </w:r>
          </w:p>
        </w:tc>
        <w:tc>
          <w:tcPr>
            <w:tcW w:type="dxa" w:w="3322"/>
          </w:tcPr>
          <w:p>
            <w:pPr>
              <w:pStyle w:val="null3"/>
            </w:pPr>
            <w:r>
              <w:rPr>
                <w:rFonts w:ascii="仿宋_GB2312" w:hAnsi="仿宋_GB2312" w:cs="仿宋_GB2312" w:eastAsia="仿宋_GB2312"/>
              </w:rPr>
              <w:t>供应商提供已缴存的2024年1月至今任意一个月的社会保障资金缴存单据或社保机构开具的社会保险参保缴费情况证明，单据或证明上应有社保机构或代收机构的公章。依法不需要缴纳社会保障资金的供应商应提关文件证明。</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供应商提供已缴纳的2024年1月至今任意一个月的纳税证明或完税证明， 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具有履行合同所必需的设备和专业技术能力承诺书</w:t>
            </w:r>
          </w:p>
        </w:tc>
        <w:tc>
          <w:tcPr>
            <w:tcW w:type="dxa" w:w="3322"/>
          </w:tcPr>
          <w:p>
            <w:pPr>
              <w:pStyle w:val="null3"/>
            </w:pPr>
            <w:r>
              <w:rPr>
                <w:rFonts w:ascii="仿宋_GB2312" w:hAnsi="仿宋_GB2312" w:cs="仿宋_GB2312" w:eastAsia="仿宋_GB2312"/>
              </w:rPr>
              <w:t>具有履行合同所必需的设备和专业技术能力承诺书。</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单位负责人为同一人或者存在直接控股、管理关系的不同供应商不得参加同一合同项下的政府采购活动承诺书</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提供不得为“信用中国”网站(http://www.creditchina.gov.cn)列入“失信被执行人（页面跳转至“中国执行信息公开网”http://zxgk.court.gov.cn/shixin/）、重大税收违法失信主体”的投标人；不得为中国政府采购网(http://www.ccgp.gov.cn)“政府采购严重违法失信行为记录名单”的投标人。</w:t>
            </w:r>
          </w:p>
        </w:tc>
        <w:tc>
          <w:tcPr>
            <w:tcW w:type="dxa" w:w="1661"/>
          </w:tcPr>
          <w:p>
            <w:pPr>
              <w:pStyle w:val="null3"/>
            </w:pPr>
            <w:r>
              <w:rPr>
                <w:rFonts w:ascii="仿宋_GB2312" w:hAnsi="仿宋_GB2312" w:cs="仿宋_GB2312" w:eastAsia="仿宋_GB2312"/>
              </w:rPr>
              <w:t>资格证明文件.docx 其他证明资料.docx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资格证明文件.docx 其他证明资料.docx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响应文件封面 残疾人福利性单位声明函 服务方案 标的清单 响应函 类似业绩.docx 监狱企业的证明文件 其他证明资料.docx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方案内容完整全面，切合本项目实际情况，内容清晰合理，计15分； 方案内容基本全面，切合项目实际情况，内容基本清晰且具有一定合理性，计11分； 方案内容明确，但合理性不足，计7分； 方案内容含糊，无合理性，无法保障项目实施，计3分。 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重点把握突出、难点分析</w:t>
            </w:r>
          </w:p>
        </w:tc>
        <w:tc>
          <w:tcPr>
            <w:tcW w:type="dxa" w:w="2492"/>
          </w:tcPr>
          <w:p>
            <w:pPr>
              <w:pStyle w:val="null3"/>
            </w:pPr>
            <w:r>
              <w:rPr>
                <w:rFonts w:ascii="仿宋_GB2312" w:hAnsi="仿宋_GB2312" w:cs="仿宋_GB2312" w:eastAsia="仿宋_GB2312"/>
              </w:rPr>
              <w:t>对本项目的重点把握突出、难点分析到位、提出有针对性的解决方案，解决方案合理计10分；重难点分析基本全面、解决方案有一定针对性计7分； 无重点、难点分析或解决方案有明显缺陷，不能保证项目正常进行计4分。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服务质量管理体系健全完善、质量目标明确，保证措施内容详细全面，条理清晰，针对性充足且完全满足项目实施计15分； 服务质量管理体系较完善、质量目标明确，保证措施详细、条理清晰，有针对性计11分； 服务质量管理体系不完善，质量目标及保证措施明确，保证措施内容明确但条理不清晰，有一定针对性，计7分； 服务质量管理体系不完善，质量目标及保证措施内容含糊或有实质性缺陷，调理不清晰，针对性不足计3分； 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进度计划组织措施</w:t>
            </w:r>
          </w:p>
        </w:tc>
        <w:tc>
          <w:tcPr>
            <w:tcW w:type="dxa" w:w="2492"/>
          </w:tcPr>
          <w:p>
            <w:pPr>
              <w:pStyle w:val="null3"/>
            </w:pPr>
            <w:r>
              <w:rPr>
                <w:rFonts w:ascii="仿宋_GB2312" w:hAnsi="仿宋_GB2312" w:cs="仿宋_GB2312" w:eastAsia="仿宋_GB2312"/>
              </w:rPr>
              <w:t>进度计划组织措施内容全面且详细，条理清晰，针对性充足，计10分； 组织措施措施明确、条理清晰，针对性充足，计8分； 组织措施明确，条理不清晰，针对性不足，计6分； 组织措施含糊，条理不清晰或有实质性缺陷，无针对性，无法满足项目实施，计4分；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工作进度计划保障措施</w:t>
            </w:r>
          </w:p>
        </w:tc>
        <w:tc>
          <w:tcPr>
            <w:tcW w:type="dxa" w:w="2492"/>
          </w:tcPr>
          <w:p>
            <w:pPr>
              <w:pStyle w:val="null3"/>
            </w:pPr>
            <w:r>
              <w:rPr>
                <w:rFonts w:ascii="仿宋_GB2312" w:hAnsi="仿宋_GB2312" w:cs="仿宋_GB2312" w:eastAsia="仿宋_GB2312"/>
              </w:rPr>
              <w:t>进度计划保障措施内容全面且详细，条理清晰，针对性充足且完全满足项目实施，计10分； 保障措施措施明确、条理清晰，针对性充足，计8分； 保障措施明确，条理不清晰，针对性不足，能够满足项目实施，计6分；保障措施内容含糊，条理不清晰或有实质性缺陷，针对性不足，无法满足项目实施，计4分；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针对本项目拟配备服务团队人员架构齐全、数量充足、专业经验丰富，配备方案合理高效，且具有针对性计10分； 针对本项目拟配备服务团队人员架构基本齐全、数量基本充足、专业经验丰富，配备方案明确且具有一定合理性，具有一定针对性的计7分 ； 针对本项目拟配备服务团队人员架构明确、数量不足、专业经验不足，配备方案含糊，且针对性不足计4分。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供应商提供完善的服务承诺及措施。 承诺及措施切合本项目实际情况，内容清晰合理，计15分； 承诺及措施切合项目实际情况，内容基本清晰且具有一定合理性，计11分； 承诺及措施明确，但合理性不足，计7分； 承诺及措施含糊，无合理性，无法保障项目实施，计3分。 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供应商提供（自2022年11月至今）类似项目业绩，每提供1份得2.5分，满分5分。 注：以响应文件中所附的合同协议书复印件为准，时间以合同签订时间为准。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类似业绩.docx</w:t>
            </w:r>
          </w:p>
          <w:p>
            <w:pPr>
              <w:pStyle w:val="null3"/>
            </w:pPr>
            <w:r>
              <w:rPr>
                <w:rFonts w:ascii="仿宋_GB2312" w:hAnsi="仿宋_GB2312" w:cs="仿宋_GB2312" w:eastAsia="仿宋_GB2312"/>
              </w:rPr>
              <w:t>其他证明资料.docx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最低的投标报价为评审基准价；投标报价得分=（评审基准价/投标报价）×价格分值符合政府采购政策的供应商，其报价按照招标文件规定折扣后进行评审。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