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55429">
      <w:pPr>
        <w:pStyle w:val="8"/>
        <w:jc w:val="center"/>
        <w:outlineLvl w:val="1"/>
        <w:rPr>
          <w:rFonts w:hint="eastAsia" w:ascii="宋体" w:hAnsi="宋体" w:eastAsia="宋体" w:cs="宋体"/>
          <w:color w:val="000000" w:themeColor="text1"/>
          <w:highlight w:val="none"/>
          <w14:textFill>
            <w14:solidFill>
              <w14:schemeClr w14:val="tx1"/>
            </w14:solidFill>
          </w14:textFill>
        </w:rPr>
      </w:pPr>
      <w:bookmarkStart w:id="1" w:name="_GoBack"/>
      <w:r>
        <w:rPr>
          <w:rFonts w:hint="eastAsia" w:ascii="宋体" w:hAnsi="宋体" w:eastAsia="宋体" w:cs="宋体"/>
          <w:b/>
          <w:color w:val="000000" w:themeColor="text1"/>
          <w:sz w:val="36"/>
          <w:highlight w:val="none"/>
          <w14:textFill>
            <w14:solidFill>
              <w14:schemeClr w14:val="tx1"/>
            </w14:solidFill>
          </w14:textFill>
        </w:rPr>
        <w:t>拟签订采购合同文本</w:t>
      </w:r>
    </w:p>
    <w:p w14:paraId="693C6616">
      <w:pPr>
        <w:pStyle w:val="5"/>
        <w:keepNext w:val="0"/>
        <w:keepLines w:val="0"/>
        <w:pageBreakBefore w:val="0"/>
        <w:wordWrap/>
        <w:overflowPunct/>
        <w:topLinePunct w:val="0"/>
        <w:bidi w:val="0"/>
        <w:spacing w:beforeAutospacing="0" w:after="0" w:afterAutospacing="0" w:line="324" w:lineRule="auto"/>
        <w:ind w:firstLine="400" w:firstLineChars="200"/>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合同编号：</w:t>
      </w:r>
    </w:p>
    <w:p w14:paraId="1424FBE0">
      <w:pPr>
        <w:pStyle w:val="5"/>
        <w:keepNext w:val="0"/>
        <w:keepLines w:val="0"/>
        <w:pageBreakBefore w:val="0"/>
        <w:wordWrap/>
        <w:overflowPunct/>
        <w:topLinePunct w:val="0"/>
        <w:bidi w:val="0"/>
        <w:spacing w:beforeAutospacing="0" w:after="0" w:afterAutospacing="0" w:line="324" w:lineRule="auto"/>
        <w:ind w:firstLine="400" w:firstLineChars="200"/>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签订地点：</w:t>
      </w:r>
    </w:p>
    <w:p w14:paraId="61E97066">
      <w:pPr>
        <w:pStyle w:val="5"/>
        <w:keepNext w:val="0"/>
        <w:keepLines w:val="0"/>
        <w:pageBreakBefore w:val="0"/>
        <w:wordWrap/>
        <w:overflowPunct/>
        <w:topLinePunct w:val="0"/>
        <w:bidi w:val="0"/>
        <w:spacing w:beforeAutospacing="0" w:after="0" w:afterAutospacing="0" w:line="324" w:lineRule="auto"/>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签订时间：</w:t>
      </w:r>
    </w:p>
    <w:p w14:paraId="7A1B0C37">
      <w:pPr>
        <w:pStyle w:val="5"/>
        <w:keepNext w:val="0"/>
        <w:keepLines w:val="0"/>
        <w:pageBreakBefore w:val="0"/>
        <w:wordWrap/>
        <w:overflowPunct/>
        <w:topLinePunct w:val="0"/>
        <w:bidi w:val="0"/>
        <w:spacing w:beforeAutospacing="0" w:after="0" w:afterAutospacing="0" w:line="324" w:lineRule="auto"/>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采购人</w:t>
      </w:r>
      <w:r>
        <w:rPr>
          <w:rFonts w:hint="eastAsia" w:ascii="宋体" w:hAnsi="宋体" w:eastAsia="宋体" w:cs="宋体"/>
          <w:color w:val="000000" w:themeColor="text1"/>
          <w:sz w:val="20"/>
          <w:szCs w:val="20"/>
          <w:highlight w:val="none"/>
          <w14:textFill>
            <w14:solidFill>
              <w14:schemeClr w14:val="tx1"/>
            </w14:solidFill>
          </w14:textFill>
        </w:rPr>
        <w:t>（甲方）：</w:t>
      </w:r>
    </w:p>
    <w:p w14:paraId="26C1207E">
      <w:pPr>
        <w:pStyle w:val="5"/>
        <w:keepNext w:val="0"/>
        <w:keepLines w:val="0"/>
        <w:pageBreakBefore w:val="0"/>
        <w:wordWrap/>
        <w:overflowPunct/>
        <w:topLinePunct w:val="0"/>
        <w:bidi w:val="0"/>
        <w:spacing w:beforeAutospacing="0" w:after="0" w:afterAutospacing="0" w:line="324" w:lineRule="auto"/>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供应商（乙方）：</w:t>
      </w:r>
    </w:p>
    <w:p w14:paraId="57ED3D86">
      <w:pPr>
        <w:pStyle w:val="3"/>
        <w:keepNext w:val="0"/>
        <w:keepLines w:val="0"/>
        <w:pageBreakBefore w:val="0"/>
        <w:wordWrap/>
        <w:overflowPunct/>
        <w:topLinePunct w:val="0"/>
        <w:bidi w:val="0"/>
        <w:spacing w:beforeAutospacing="0" w:afterAutospacing="0" w:line="324" w:lineRule="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根据《中华人民共和国政府采购法》及实施条例、《中华人民共和国民法典》和甲方</w:t>
      </w:r>
      <w:r>
        <w:rPr>
          <w:rFonts w:hint="eastAsia" w:ascii="宋体" w:hAnsi="宋体" w:eastAsia="宋体" w:cs="宋体"/>
          <w:color w:val="000000" w:themeColor="text1"/>
          <w:sz w:val="20"/>
          <w:szCs w:val="20"/>
          <w:highlight w:val="none"/>
          <w:u w:val="single"/>
          <w14:textFill>
            <w14:solidFill>
              <w14:schemeClr w14:val="tx1"/>
            </w14:solidFill>
          </w14:textFill>
        </w:rPr>
        <w:t>（项目名称）（项目编号</w:t>
      </w:r>
      <w:r>
        <w:rPr>
          <w:rFonts w:hint="eastAsia" w:ascii="宋体" w:hAnsi="宋体" w:eastAsia="宋体" w:cs="宋体"/>
          <w:color w:val="000000" w:themeColor="text1"/>
          <w:sz w:val="20"/>
          <w:szCs w:val="20"/>
          <w:highlight w:val="none"/>
          <w14:textFill>
            <w14:solidFill>
              <w14:schemeClr w14:val="tx1"/>
            </w14:solidFill>
          </w14:textFill>
        </w:rPr>
        <w:t>）的</w:t>
      </w:r>
      <w:r>
        <w:rPr>
          <w:rFonts w:hint="eastAsia" w:ascii="宋体" w:hAnsi="宋体" w:eastAsia="宋体" w:cs="宋体"/>
          <w:color w:val="000000" w:themeColor="text1"/>
          <w:sz w:val="20"/>
          <w:szCs w:val="20"/>
          <w:highlight w:val="none"/>
          <w:lang w:val="en-US" w:eastAsia="zh-CN"/>
          <w14:textFill>
            <w14:solidFill>
              <w14:schemeClr w14:val="tx1"/>
            </w14:solidFill>
          </w14:textFill>
        </w:rPr>
        <w:t>采购</w:t>
      </w:r>
      <w:r>
        <w:rPr>
          <w:rFonts w:hint="eastAsia" w:ascii="宋体" w:hAnsi="宋体" w:eastAsia="宋体" w:cs="宋体"/>
          <w:color w:val="000000" w:themeColor="text1"/>
          <w:sz w:val="20"/>
          <w:szCs w:val="20"/>
          <w:highlight w:val="none"/>
          <w14:textFill>
            <w14:solidFill>
              <w14:schemeClr w14:val="tx1"/>
            </w14:solidFill>
          </w14:textFill>
        </w:rPr>
        <w:t>文件、响应文件等有关规定，为确保甲方采购项目的顺利实施，甲、乙双方在平等自愿原则下签订本合同，并共同遵守如下条款：</w:t>
      </w:r>
      <w:bookmarkStart w:id="0" w:name="_Toc14987"/>
    </w:p>
    <w:bookmarkEnd w:id="0"/>
    <w:p w14:paraId="66125B3F">
      <w:pPr>
        <w:keepNext w:val="0"/>
        <w:keepLines w:val="0"/>
        <w:pageBreakBefore w:val="0"/>
        <w:wordWrap/>
        <w:overflowPunct/>
        <w:topLinePunct w:val="0"/>
        <w:bidi w:val="0"/>
        <w:spacing w:beforeAutospacing="0" w:afterAutospacing="0" w:line="324" w:lineRule="auto"/>
        <w:rPr>
          <w:rFonts w:hint="eastAsia" w:ascii="宋体" w:hAnsi="宋体" w:eastAsia="宋体" w:cs="宋体"/>
          <w:b/>
          <w:color w:val="000000" w:themeColor="text1"/>
          <w:sz w:val="20"/>
          <w:szCs w:val="20"/>
          <w:highlight w:val="none"/>
          <w:lang w:val="en-US" w:eastAsia="zh-CN"/>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第一条</w:t>
      </w:r>
      <w:r>
        <w:rPr>
          <w:rFonts w:hint="eastAsia" w:ascii="宋体" w:hAnsi="宋体" w:eastAsia="宋体" w:cs="宋体"/>
          <w:b/>
          <w:color w:val="000000" w:themeColor="text1"/>
          <w:sz w:val="20"/>
          <w:szCs w:val="20"/>
          <w:highlight w:val="none"/>
          <w:lang w:val="en-US" w:eastAsia="zh-CN"/>
          <w14:textFill>
            <w14:solidFill>
              <w14:schemeClr w14:val="tx1"/>
            </w14:solidFill>
          </w14:textFill>
        </w:rPr>
        <w:t>项目概况</w:t>
      </w:r>
    </w:p>
    <w:p w14:paraId="6D3D936A">
      <w:pPr>
        <w:keepNext w:val="0"/>
        <w:keepLines w:val="0"/>
        <w:pageBreakBefore w:val="0"/>
        <w:wordWrap/>
        <w:overflowPunct/>
        <w:topLinePunct w:val="0"/>
        <w:bidi w:val="0"/>
        <w:spacing w:beforeAutospacing="0" w:afterAutospacing="0" w:line="324" w:lineRule="auto"/>
        <w:ind w:right="-199" w:rightChars="-95"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乙</w:t>
      </w:r>
      <w:r>
        <w:rPr>
          <w:rFonts w:hint="eastAsia" w:ascii="宋体" w:hAnsi="宋体" w:eastAsia="宋体" w:cs="宋体"/>
          <w:color w:val="000000" w:themeColor="text1"/>
          <w:sz w:val="20"/>
          <w:szCs w:val="20"/>
          <w:highlight w:val="none"/>
          <w:lang w:val="en-US" w:eastAsia="zh-CN"/>
          <w14:textFill>
            <w14:solidFill>
              <w14:schemeClr w14:val="tx1"/>
            </w14:solidFill>
          </w14:textFill>
        </w:rPr>
        <w:t>方根据区域划分的责任范围，对雁塔区约</w:t>
      </w:r>
      <w:r>
        <w:rPr>
          <w:rFonts w:hint="eastAsia" w:ascii="宋体" w:hAnsi="宋体" w:eastAsia="宋体" w:cs="宋体"/>
          <w:b w:val="0"/>
          <w:bCs/>
          <w:color w:val="000000" w:themeColor="text1"/>
          <w:sz w:val="20"/>
          <w:szCs w:val="20"/>
          <w:highlight w:val="none"/>
          <w:lang w:val="en-US" w:eastAsia="zh-CN"/>
          <w14:textFill>
            <w14:solidFill>
              <w14:schemeClr w14:val="tx1"/>
            </w14:solidFill>
          </w14:textFill>
        </w:rPr>
        <w:t>31个小区</w:t>
      </w:r>
      <w:r>
        <w:rPr>
          <w:rFonts w:hint="eastAsia" w:ascii="宋体" w:hAnsi="宋体" w:eastAsia="宋体" w:cs="宋体"/>
          <w:color w:val="000000" w:themeColor="text1"/>
          <w:sz w:val="20"/>
          <w:szCs w:val="20"/>
          <w:highlight w:val="none"/>
          <w:lang w:val="en-US" w:eastAsia="zh-CN"/>
          <w14:textFill>
            <w14:solidFill>
              <w14:schemeClr w14:val="tx1"/>
            </w14:solidFill>
          </w14:textFill>
        </w:rPr>
        <w:t>的庭院供热管道更新改造进行可行性研究报告编制；配合并促进甲方完成2026年雁塔区庭院供热管道老化更新改造目标；各项服务符合国家、省、市（行业）强制性标准及甲方要求</w:t>
      </w:r>
      <w:r>
        <w:rPr>
          <w:rFonts w:hint="eastAsia" w:ascii="宋体" w:hAnsi="宋体" w:eastAsia="宋体" w:cs="宋体"/>
          <w:color w:val="000000" w:themeColor="text1"/>
          <w:sz w:val="20"/>
          <w:szCs w:val="20"/>
          <w:highlight w:val="none"/>
          <w14:textFill>
            <w14:solidFill>
              <w14:schemeClr w14:val="tx1"/>
            </w14:solidFill>
          </w14:textFill>
        </w:rPr>
        <w:t>。</w:t>
      </w:r>
    </w:p>
    <w:p w14:paraId="203ED086">
      <w:pPr>
        <w:keepNext w:val="0"/>
        <w:keepLines w:val="0"/>
        <w:pageBreakBefore w:val="0"/>
        <w:wordWrap/>
        <w:overflowPunct/>
        <w:topLinePunct w:val="0"/>
        <w:bidi w:val="0"/>
        <w:spacing w:beforeAutospacing="0" w:afterAutospacing="0" w:line="324" w:lineRule="auto"/>
        <w:rPr>
          <w:rFonts w:hint="eastAsia" w:ascii="宋体" w:hAnsi="宋体" w:eastAsia="宋体" w:cs="宋体"/>
          <w:b/>
          <w:color w:val="000000" w:themeColor="text1"/>
          <w:sz w:val="20"/>
          <w:szCs w:val="20"/>
          <w:highlight w:val="none"/>
          <w:lang w:val="en-US" w:eastAsia="zh-CN"/>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第</w:t>
      </w:r>
      <w:r>
        <w:rPr>
          <w:rFonts w:hint="eastAsia" w:ascii="宋体" w:hAnsi="宋体" w:eastAsia="宋体" w:cs="宋体"/>
          <w:b/>
          <w:color w:val="000000" w:themeColor="text1"/>
          <w:sz w:val="20"/>
          <w:szCs w:val="20"/>
          <w:highlight w:val="none"/>
          <w:lang w:val="en-US" w:eastAsia="zh-CN"/>
          <w14:textFill>
            <w14:solidFill>
              <w14:schemeClr w14:val="tx1"/>
            </w14:solidFill>
          </w14:textFill>
        </w:rPr>
        <w:t>二</w:t>
      </w:r>
      <w:r>
        <w:rPr>
          <w:rFonts w:hint="eastAsia" w:ascii="宋体" w:hAnsi="宋体" w:eastAsia="宋体" w:cs="宋体"/>
          <w:b/>
          <w:color w:val="000000" w:themeColor="text1"/>
          <w:sz w:val="20"/>
          <w:szCs w:val="20"/>
          <w:highlight w:val="none"/>
          <w14:textFill>
            <w14:solidFill>
              <w14:schemeClr w14:val="tx1"/>
            </w14:solidFill>
          </w14:textFill>
        </w:rPr>
        <w:t>条</w:t>
      </w:r>
      <w:r>
        <w:rPr>
          <w:rFonts w:hint="eastAsia" w:ascii="宋体" w:hAnsi="宋体" w:eastAsia="宋体" w:cs="宋体"/>
          <w:b/>
          <w:color w:val="000000" w:themeColor="text1"/>
          <w:sz w:val="20"/>
          <w:szCs w:val="20"/>
          <w:highlight w:val="none"/>
          <w:lang w:val="en-US" w:eastAsia="zh-CN"/>
          <w14:textFill>
            <w14:solidFill>
              <w14:schemeClr w14:val="tx1"/>
            </w14:solidFill>
          </w14:textFill>
        </w:rPr>
        <w:t>服务内容及要求</w:t>
      </w:r>
    </w:p>
    <w:p w14:paraId="16CBA1C8">
      <w:pPr>
        <w:pStyle w:val="8"/>
        <w:keepNext w:val="0"/>
        <w:keepLines w:val="0"/>
        <w:pageBreakBefore w:val="0"/>
        <w:kinsoku/>
        <w:wordWrap/>
        <w:overflowPunct/>
        <w:topLinePunct w:val="0"/>
        <w:autoSpaceDE/>
        <w:autoSpaceDN/>
        <w:bidi w:val="0"/>
        <w:adjustRightInd/>
        <w:snapToGrid/>
        <w:spacing w:beforeAutospacing="0" w:afterAutospacing="0" w:line="324" w:lineRule="auto"/>
        <w:ind w:firstLine="422"/>
        <w:jc w:val="both"/>
        <w:textAlignment w:val="auto"/>
        <w:rPr>
          <w:rFonts w:hint="eastAsia" w:ascii="宋体" w:hAnsi="宋体" w:eastAsia="宋体" w:cs="宋体"/>
          <w:b w:val="0"/>
          <w:bCs/>
          <w:color w:val="000000" w:themeColor="text1"/>
          <w:sz w:val="20"/>
          <w:szCs w:val="20"/>
          <w:highlight w:val="none"/>
          <w:lang w:val="en-US" w:eastAsia="zh-CN"/>
          <w14:textFill>
            <w14:solidFill>
              <w14:schemeClr w14:val="tx1"/>
            </w14:solidFill>
          </w14:textFill>
        </w:rPr>
      </w:pPr>
      <w:r>
        <w:rPr>
          <w:rFonts w:hint="eastAsia" w:ascii="宋体" w:hAnsi="宋体" w:eastAsia="宋体" w:cs="宋体"/>
          <w:b w:val="0"/>
          <w:bCs/>
          <w:color w:val="000000" w:themeColor="text1"/>
          <w:sz w:val="20"/>
          <w:szCs w:val="20"/>
          <w:highlight w:val="none"/>
          <w:lang w:val="en-US" w:eastAsia="zh-CN"/>
          <w14:textFill>
            <w14:solidFill>
              <w14:schemeClr w14:val="tx1"/>
            </w14:solidFill>
          </w14:textFill>
        </w:rPr>
        <w:t>1、服务内容：</w:t>
      </w:r>
      <w:r>
        <w:rPr>
          <w:rFonts w:hint="eastAsia" w:ascii="宋体" w:hAnsi="宋体" w:eastAsia="宋体" w:cs="宋体"/>
          <w:b w:val="0"/>
          <w:bCs/>
          <w:color w:val="000000" w:themeColor="text1"/>
          <w:sz w:val="20"/>
          <w:szCs w:val="20"/>
          <w:highlight w:val="none"/>
          <w:u w:val="single"/>
          <w:lang w:val="en-US" w:eastAsia="zh-CN"/>
          <w14:textFill>
            <w14:solidFill>
              <w14:schemeClr w14:val="tx1"/>
            </w14:solidFill>
          </w14:textFill>
        </w:rPr>
        <w:t xml:space="preserve">                             </w:t>
      </w:r>
    </w:p>
    <w:p w14:paraId="47DF6F96">
      <w:pPr>
        <w:pStyle w:val="8"/>
        <w:keepNext w:val="0"/>
        <w:keepLines w:val="0"/>
        <w:pageBreakBefore w:val="0"/>
        <w:kinsoku/>
        <w:wordWrap/>
        <w:overflowPunct/>
        <w:topLinePunct w:val="0"/>
        <w:autoSpaceDE/>
        <w:autoSpaceDN/>
        <w:bidi w:val="0"/>
        <w:adjustRightInd/>
        <w:snapToGrid/>
        <w:spacing w:beforeAutospacing="0" w:afterAutospacing="0" w:line="324" w:lineRule="auto"/>
        <w:ind w:firstLine="422"/>
        <w:jc w:val="both"/>
        <w:textAlignment w:val="auto"/>
        <w:rPr>
          <w:rFonts w:hint="eastAsia" w:ascii="宋体" w:hAnsi="宋体" w:eastAsia="宋体" w:cs="宋体"/>
          <w:b w:val="0"/>
          <w:bCs/>
          <w:color w:val="000000" w:themeColor="text1"/>
          <w:sz w:val="20"/>
          <w:szCs w:val="20"/>
          <w:highlight w:val="none"/>
          <w:u w:val="single"/>
          <w:lang w:val="en-US" w:eastAsia="zh-CN"/>
          <w14:textFill>
            <w14:solidFill>
              <w14:schemeClr w14:val="tx1"/>
            </w14:solidFill>
          </w14:textFill>
        </w:rPr>
      </w:pPr>
      <w:r>
        <w:rPr>
          <w:rFonts w:hint="eastAsia" w:ascii="宋体" w:hAnsi="宋体" w:eastAsia="宋体" w:cs="宋体"/>
          <w:b w:val="0"/>
          <w:bCs w:val="0"/>
          <w:color w:val="000000" w:themeColor="text1"/>
          <w:kern w:val="2"/>
          <w:sz w:val="20"/>
          <w:szCs w:val="20"/>
          <w:highlight w:val="none"/>
          <w:lang w:val="en-US" w:eastAsia="zh-CN" w:bidi="ar-SA"/>
          <w14:textFill>
            <w14:solidFill>
              <w14:schemeClr w14:val="tx1"/>
            </w14:solidFill>
          </w14:textFill>
        </w:rPr>
        <w:t>2、服务要求：</w:t>
      </w:r>
      <w:r>
        <w:rPr>
          <w:rFonts w:hint="eastAsia" w:ascii="宋体" w:hAnsi="宋体" w:eastAsia="宋体" w:cs="宋体"/>
          <w:b w:val="0"/>
          <w:bCs/>
          <w:color w:val="000000" w:themeColor="text1"/>
          <w:sz w:val="20"/>
          <w:szCs w:val="20"/>
          <w:highlight w:val="none"/>
          <w:u w:val="single"/>
          <w:lang w:val="en-US" w:eastAsia="zh-CN"/>
          <w14:textFill>
            <w14:solidFill>
              <w14:schemeClr w14:val="tx1"/>
            </w14:solidFill>
          </w14:textFill>
        </w:rPr>
        <w:t xml:space="preserve">                             </w:t>
      </w:r>
    </w:p>
    <w:p w14:paraId="4AA7B34D">
      <w:pPr>
        <w:pStyle w:val="8"/>
        <w:keepNext w:val="0"/>
        <w:keepLines w:val="0"/>
        <w:pageBreakBefore w:val="0"/>
        <w:kinsoku/>
        <w:wordWrap/>
        <w:overflowPunct/>
        <w:topLinePunct w:val="0"/>
        <w:autoSpaceDE/>
        <w:autoSpaceDN/>
        <w:bidi w:val="0"/>
        <w:adjustRightInd/>
        <w:snapToGrid/>
        <w:spacing w:beforeAutospacing="0" w:afterAutospacing="0" w:line="324" w:lineRule="auto"/>
        <w:ind w:firstLine="422"/>
        <w:jc w:val="both"/>
        <w:textAlignment w:val="auto"/>
        <w:rPr>
          <w:rFonts w:hint="eastAsia" w:ascii="宋体" w:hAnsi="宋体" w:eastAsia="宋体" w:cs="宋体"/>
          <w:b w:val="0"/>
          <w:bCs/>
          <w:color w:val="000000" w:themeColor="text1"/>
          <w:sz w:val="20"/>
          <w:szCs w:val="20"/>
          <w:highlight w:val="none"/>
          <w:u w:val="single"/>
          <w:lang w:val="en-US" w:eastAsia="zh-CN"/>
          <w14:textFill>
            <w14:solidFill>
              <w14:schemeClr w14:val="tx1"/>
            </w14:solidFill>
          </w14:textFill>
        </w:rPr>
      </w:pPr>
      <w:r>
        <w:rPr>
          <w:rFonts w:hint="eastAsia" w:ascii="宋体" w:hAnsi="宋体" w:eastAsia="宋体" w:cs="宋体"/>
          <w:b w:val="0"/>
          <w:bCs w:val="0"/>
          <w:color w:val="000000" w:themeColor="text1"/>
          <w:kern w:val="2"/>
          <w:sz w:val="20"/>
          <w:szCs w:val="20"/>
          <w:highlight w:val="none"/>
          <w:lang w:val="en-US" w:eastAsia="zh-CN" w:bidi="ar-SA"/>
          <w14:textFill>
            <w14:solidFill>
              <w14:schemeClr w14:val="tx1"/>
            </w14:solidFill>
          </w14:textFill>
        </w:rPr>
        <w:t>3、质量标准：</w:t>
      </w:r>
      <w:r>
        <w:rPr>
          <w:rFonts w:hint="eastAsia" w:ascii="宋体" w:hAnsi="宋体" w:eastAsia="宋体" w:cs="宋体"/>
          <w:color w:val="000000" w:themeColor="text1"/>
          <w:kern w:val="2"/>
          <w:sz w:val="20"/>
          <w:szCs w:val="20"/>
          <w:highlight w:val="none"/>
          <w:lang w:val="en-US" w:eastAsia="zh-CN" w:bidi="ar-SA"/>
          <w14:textFill>
            <w14:solidFill>
              <w14:schemeClr w14:val="tx1"/>
            </w14:solidFill>
          </w14:textFill>
        </w:rPr>
        <w:t>各项服务标准符合国家、省、市（行业）强制性标准及甲方要求。</w:t>
      </w:r>
    </w:p>
    <w:p w14:paraId="7562EA99">
      <w:pPr>
        <w:pStyle w:val="8"/>
        <w:keepNext w:val="0"/>
        <w:keepLines w:val="0"/>
        <w:pageBreakBefore w:val="0"/>
        <w:kinsoku/>
        <w:wordWrap/>
        <w:overflowPunct/>
        <w:topLinePunct w:val="0"/>
        <w:autoSpaceDE/>
        <w:autoSpaceDN/>
        <w:bidi w:val="0"/>
        <w:adjustRightInd/>
        <w:snapToGrid/>
        <w:spacing w:beforeAutospacing="0" w:afterAutospacing="0" w:line="324" w:lineRule="auto"/>
        <w:jc w:val="both"/>
        <w:textAlignment w:val="auto"/>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kern w:val="2"/>
          <w:sz w:val="20"/>
          <w:szCs w:val="20"/>
          <w:highlight w:val="none"/>
          <w:lang w:val="en-US" w:eastAsia="zh-CN" w:bidi="ar-SA"/>
          <w14:textFill>
            <w14:solidFill>
              <w14:schemeClr w14:val="tx1"/>
            </w14:solidFill>
          </w14:textFill>
        </w:rPr>
        <w:t>第三条服务期限</w:t>
      </w:r>
    </w:p>
    <w:p w14:paraId="502037DF">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自</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年</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月</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日起至</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年</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月</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日止</w:t>
      </w:r>
    </w:p>
    <w:p w14:paraId="79AB2430">
      <w:pPr>
        <w:keepNext w:val="0"/>
        <w:keepLines w:val="0"/>
        <w:pageBreakBefore w:val="0"/>
        <w:wordWrap/>
        <w:overflowPunct/>
        <w:topLinePunct w:val="0"/>
        <w:bidi w:val="0"/>
        <w:spacing w:beforeAutospacing="0" w:afterAutospacing="0" w:line="324" w:lineRule="auto"/>
        <w:rPr>
          <w:rFonts w:hint="eastAsia" w:ascii="宋体" w:hAnsi="宋体" w:eastAsia="宋体" w:cs="宋体"/>
          <w:color w:val="000000" w:themeColor="text1"/>
          <w:spacing w:val="6"/>
          <w:kern w:val="60"/>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第</w:t>
      </w:r>
      <w:r>
        <w:rPr>
          <w:rFonts w:hint="eastAsia" w:ascii="宋体" w:hAnsi="宋体" w:eastAsia="宋体" w:cs="宋体"/>
          <w:b/>
          <w:color w:val="000000" w:themeColor="text1"/>
          <w:sz w:val="20"/>
          <w:szCs w:val="20"/>
          <w:highlight w:val="none"/>
          <w:lang w:val="en-US" w:eastAsia="zh-CN"/>
          <w14:textFill>
            <w14:solidFill>
              <w14:schemeClr w14:val="tx1"/>
            </w14:solidFill>
          </w14:textFill>
        </w:rPr>
        <w:t>四</w:t>
      </w:r>
      <w:r>
        <w:rPr>
          <w:rFonts w:hint="eastAsia" w:ascii="宋体" w:hAnsi="宋体" w:eastAsia="宋体" w:cs="宋体"/>
          <w:b/>
          <w:color w:val="000000" w:themeColor="text1"/>
          <w:sz w:val="20"/>
          <w:szCs w:val="20"/>
          <w:highlight w:val="none"/>
          <w14:textFill>
            <w14:solidFill>
              <w14:schemeClr w14:val="tx1"/>
            </w14:solidFill>
          </w14:textFill>
        </w:rPr>
        <w:t>条合同价款及支付方式</w:t>
      </w:r>
    </w:p>
    <w:p w14:paraId="7BEDA24E">
      <w:pPr>
        <w:keepNext w:val="0"/>
        <w:keepLines w:val="0"/>
        <w:pageBreakBefore w:val="0"/>
        <w:wordWrap/>
        <w:overflowPunct/>
        <w:topLinePunct w:val="0"/>
        <w:bidi w:val="0"/>
        <w:spacing w:beforeAutospacing="0" w:afterAutospacing="0" w:line="324" w:lineRule="auto"/>
        <w:ind w:firstLine="400" w:firstLineChars="200"/>
        <w:rPr>
          <w:rFonts w:hint="eastAsia" w:ascii="宋体" w:hAnsi="宋体" w:eastAsia="宋体" w:cs="宋体"/>
          <w:color w:val="000000" w:themeColor="text1"/>
          <w:sz w:val="20"/>
          <w:szCs w:val="20"/>
          <w:highlight w:val="none"/>
          <w:shd w:val="clear" w:color="auto" w:fill="FFFFFF"/>
          <w14:textFill>
            <w14:solidFill>
              <w14:schemeClr w14:val="tx1"/>
            </w14:solidFill>
          </w14:textFill>
        </w:rPr>
      </w:pPr>
      <w:r>
        <w:rPr>
          <w:rFonts w:hint="eastAsia" w:ascii="宋体" w:hAnsi="宋体" w:eastAsia="宋体" w:cs="宋体"/>
          <w:color w:val="000000" w:themeColor="text1"/>
          <w:sz w:val="20"/>
          <w:szCs w:val="20"/>
          <w:highlight w:val="none"/>
          <w:shd w:val="clear" w:color="auto" w:fill="FFFFFF"/>
          <w14:textFill>
            <w14:solidFill>
              <w14:schemeClr w14:val="tx1"/>
            </w14:solidFill>
          </w14:textFill>
        </w:rPr>
        <w:t>1、合同</w:t>
      </w:r>
      <w:r>
        <w:rPr>
          <w:rFonts w:hint="eastAsia" w:ascii="宋体" w:hAnsi="宋体" w:eastAsia="宋体" w:cs="宋体"/>
          <w:color w:val="000000" w:themeColor="text1"/>
          <w:sz w:val="20"/>
          <w:szCs w:val="20"/>
          <w:highlight w:val="none"/>
          <w:shd w:val="clear" w:color="auto" w:fill="FFFFFF"/>
          <w:lang w:val="en-US" w:eastAsia="zh-CN"/>
          <w14:textFill>
            <w14:solidFill>
              <w14:schemeClr w14:val="tx1"/>
            </w14:solidFill>
          </w14:textFill>
        </w:rPr>
        <w:t>价款为</w:t>
      </w:r>
      <w:r>
        <w:rPr>
          <w:rFonts w:hint="eastAsia" w:ascii="宋体" w:hAnsi="宋体" w:eastAsia="宋体" w:cs="宋体"/>
          <w:color w:val="000000" w:themeColor="text1"/>
          <w:sz w:val="20"/>
          <w:szCs w:val="20"/>
          <w:highlight w:val="none"/>
          <w:shd w:val="clear" w:color="auto" w:fill="FFFFFF"/>
          <w14:textFill>
            <w14:solidFill>
              <w14:schemeClr w14:val="tx1"/>
            </w14:solidFill>
          </w14:textFill>
        </w:rPr>
        <w:t>人民币(大写)</w:t>
      </w:r>
      <w:r>
        <w:rPr>
          <w:rFonts w:hint="eastAsia" w:ascii="宋体" w:hAnsi="宋体" w:eastAsia="宋体" w:cs="宋体"/>
          <w:color w:val="000000" w:themeColor="text1"/>
          <w:sz w:val="20"/>
          <w:szCs w:val="20"/>
          <w:highlight w:val="none"/>
          <w:u w:val="single"/>
          <w:shd w:val="clear" w:color="auto" w:fill="FFFFFF"/>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shd w:val="clear" w:color="auto" w:fill="FFFFFF"/>
          <w14:textFill>
            <w14:solidFill>
              <w14:schemeClr w14:val="tx1"/>
            </w14:solidFill>
          </w14:textFill>
        </w:rPr>
        <w:t>(¥</w:t>
      </w:r>
      <w:r>
        <w:rPr>
          <w:rFonts w:hint="eastAsia" w:ascii="宋体" w:hAnsi="宋体" w:eastAsia="宋体" w:cs="宋体"/>
          <w:color w:val="000000" w:themeColor="text1"/>
          <w:sz w:val="20"/>
          <w:szCs w:val="20"/>
          <w:highlight w:val="none"/>
          <w:u w:val="single"/>
          <w:shd w:val="clear" w:color="auto" w:fill="FFFFFF"/>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shd w:val="clear" w:color="auto" w:fill="FFFFFF"/>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shd w:val="clear" w:color="auto" w:fill="FFFFFF"/>
          <w14:textFill>
            <w14:solidFill>
              <w14:schemeClr w14:val="tx1"/>
            </w14:solidFill>
          </w14:textFill>
        </w:rPr>
        <w:t>)。</w:t>
      </w:r>
    </w:p>
    <w:p w14:paraId="7C7162B5">
      <w:pPr>
        <w:keepNext w:val="0"/>
        <w:keepLines w:val="0"/>
        <w:pageBreakBefore w:val="0"/>
        <w:wordWrap/>
        <w:overflowPunct/>
        <w:topLinePunct w:val="0"/>
        <w:bidi w:val="0"/>
        <w:spacing w:beforeAutospacing="0" w:afterAutospacing="0" w:line="324" w:lineRule="auto"/>
        <w:ind w:left="3812" w:firstLine="406"/>
        <w:rPr>
          <w:rFonts w:hint="eastAsia" w:ascii="宋体" w:hAnsi="宋体" w:eastAsia="宋体" w:cs="宋体"/>
          <w:b/>
          <w:bCs/>
          <w:color w:val="000000" w:themeColor="text1"/>
          <w:spacing w:val="-4"/>
          <w:sz w:val="20"/>
          <w:szCs w:val="20"/>
          <w:highlight w:val="none"/>
          <w14:textFill>
            <w14:solidFill>
              <w14:schemeClr w14:val="tx1"/>
            </w14:solidFill>
          </w14:textFill>
        </w:rPr>
      </w:pPr>
      <w:r>
        <w:rPr>
          <w:rFonts w:hint="eastAsia" w:ascii="宋体" w:hAnsi="宋体" w:eastAsia="宋体" w:cs="宋体"/>
          <w:b/>
          <w:bCs/>
          <w:color w:val="000000" w:themeColor="text1"/>
          <w:spacing w:val="-4"/>
          <w:sz w:val="20"/>
          <w:szCs w:val="20"/>
          <w:highlight w:val="none"/>
          <w14:textFill>
            <w14:solidFill>
              <w14:schemeClr w14:val="tx1"/>
            </w14:solidFill>
          </w14:textFill>
        </w:rPr>
        <w:t>服务清单一览表</w:t>
      </w:r>
    </w:p>
    <w:tbl>
      <w:tblPr>
        <w:tblStyle w:val="9"/>
        <w:tblW w:w="96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2578"/>
        <w:gridCol w:w="1985"/>
        <w:gridCol w:w="1276"/>
        <w:gridCol w:w="1417"/>
        <w:gridCol w:w="1559"/>
      </w:tblGrid>
      <w:tr w14:paraId="727C4C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821" w:type="dxa"/>
            <w:vAlign w:val="center"/>
          </w:tcPr>
          <w:p w14:paraId="1F926432">
            <w:pPr>
              <w:pStyle w:val="3"/>
              <w:keepNext w:val="0"/>
              <w:keepLines w:val="0"/>
              <w:pageBreakBefore w:val="0"/>
              <w:wordWrap/>
              <w:overflowPunct/>
              <w:topLinePunct w:val="0"/>
              <w:bidi w:val="0"/>
              <w:spacing w:beforeAutospacing="0" w:afterAutospacing="0" w:line="324" w:lineRule="auto"/>
              <w:ind w:firstLine="0"/>
              <w:jc w:val="center"/>
              <w:rPr>
                <w:rFonts w:hint="eastAsia" w:ascii="宋体" w:hAnsi="宋体" w:eastAsia="宋体" w:cs="宋体"/>
                <w:b/>
                <w:color w:val="000000" w:themeColor="text1"/>
                <w:kern w:val="0"/>
                <w:sz w:val="20"/>
                <w:szCs w:val="20"/>
                <w:highlight w:val="none"/>
                <w14:textFill>
                  <w14:solidFill>
                    <w14:schemeClr w14:val="tx1"/>
                  </w14:solidFill>
                </w14:textFill>
              </w:rPr>
            </w:pPr>
            <w:r>
              <w:rPr>
                <w:rFonts w:hint="eastAsia" w:ascii="宋体" w:hAnsi="宋体" w:eastAsia="宋体" w:cs="宋体"/>
                <w:b/>
                <w:color w:val="000000" w:themeColor="text1"/>
                <w:kern w:val="0"/>
                <w:sz w:val="20"/>
                <w:szCs w:val="20"/>
                <w:highlight w:val="none"/>
                <w14:textFill>
                  <w14:solidFill>
                    <w14:schemeClr w14:val="tx1"/>
                  </w14:solidFill>
                </w14:textFill>
              </w:rPr>
              <w:t>序号</w:t>
            </w:r>
          </w:p>
        </w:tc>
        <w:tc>
          <w:tcPr>
            <w:tcW w:w="2578" w:type="dxa"/>
            <w:vAlign w:val="center"/>
          </w:tcPr>
          <w:p w14:paraId="4A1CB61F">
            <w:pPr>
              <w:pStyle w:val="3"/>
              <w:keepNext w:val="0"/>
              <w:keepLines w:val="0"/>
              <w:pageBreakBefore w:val="0"/>
              <w:wordWrap/>
              <w:overflowPunct/>
              <w:topLinePunct w:val="0"/>
              <w:bidi w:val="0"/>
              <w:spacing w:beforeAutospacing="0" w:afterAutospacing="0" w:line="324" w:lineRule="auto"/>
              <w:ind w:firstLine="0"/>
              <w:jc w:val="center"/>
              <w:rPr>
                <w:rFonts w:hint="eastAsia" w:ascii="宋体" w:hAnsi="宋体" w:eastAsia="宋体" w:cs="宋体"/>
                <w:b/>
                <w:color w:val="000000" w:themeColor="text1"/>
                <w:kern w:val="0"/>
                <w:sz w:val="20"/>
                <w:szCs w:val="20"/>
                <w:highlight w:val="none"/>
                <w14:textFill>
                  <w14:solidFill>
                    <w14:schemeClr w14:val="tx1"/>
                  </w14:solidFill>
                </w14:textFill>
              </w:rPr>
            </w:pPr>
            <w:r>
              <w:rPr>
                <w:rFonts w:hint="eastAsia" w:ascii="宋体" w:hAnsi="宋体" w:eastAsia="宋体" w:cs="宋体"/>
                <w:b/>
                <w:color w:val="000000" w:themeColor="text1"/>
                <w:kern w:val="0"/>
                <w:sz w:val="20"/>
                <w:szCs w:val="20"/>
                <w:highlight w:val="none"/>
                <w14:textFill>
                  <w14:solidFill>
                    <w14:schemeClr w14:val="tx1"/>
                  </w14:solidFill>
                </w14:textFill>
              </w:rPr>
              <w:t>服务名称</w:t>
            </w:r>
          </w:p>
        </w:tc>
        <w:tc>
          <w:tcPr>
            <w:tcW w:w="1985" w:type="dxa"/>
            <w:vAlign w:val="center"/>
          </w:tcPr>
          <w:p w14:paraId="2295185A">
            <w:pPr>
              <w:pStyle w:val="3"/>
              <w:keepNext w:val="0"/>
              <w:keepLines w:val="0"/>
              <w:pageBreakBefore w:val="0"/>
              <w:wordWrap/>
              <w:overflowPunct/>
              <w:topLinePunct w:val="0"/>
              <w:bidi w:val="0"/>
              <w:spacing w:beforeAutospacing="0" w:afterAutospacing="0" w:line="324" w:lineRule="auto"/>
              <w:ind w:firstLine="0"/>
              <w:jc w:val="center"/>
              <w:rPr>
                <w:rFonts w:hint="eastAsia" w:ascii="宋体" w:hAnsi="宋体" w:eastAsia="宋体" w:cs="宋体"/>
                <w:b/>
                <w:color w:val="000000" w:themeColor="text1"/>
                <w:kern w:val="0"/>
                <w:sz w:val="20"/>
                <w:szCs w:val="20"/>
                <w:highlight w:val="none"/>
                <w14:textFill>
                  <w14:solidFill>
                    <w14:schemeClr w14:val="tx1"/>
                  </w14:solidFill>
                </w14:textFill>
              </w:rPr>
            </w:pPr>
            <w:r>
              <w:rPr>
                <w:rFonts w:hint="eastAsia" w:ascii="宋体" w:hAnsi="宋体" w:eastAsia="宋体" w:cs="宋体"/>
                <w:b/>
                <w:color w:val="000000" w:themeColor="text1"/>
                <w:kern w:val="0"/>
                <w:sz w:val="20"/>
                <w:szCs w:val="20"/>
                <w:highlight w:val="none"/>
                <w14:textFill>
                  <w14:solidFill>
                    <w14:schemeClr w14:val="tx1"/>
                  </w14:solidFill>
                </w14:textFill>
              </w:rPr>
              <w:t>服务内容</w:t>
            </w:r>
          </w:p>
        </w:tc>
        <w:tc>
          <w:tcPr>
            <w:tcW w:w="1276" w:type="dxa"/>
            <w:vAlign w:val="center"/>
          </w:tcPr>
          <w:p w14:paraId="72144447">
            <w:pPr>
              <w:pStyle w:val="3"/>
              <w:keepNext w:val="0"/>
              <w:keepLines w:val="0"/>
              <w:pageBreakBefore w:val="0"/>
              <w:wordWrap/>
              <w:overflowPunct/>
              <w:topLinePunct w:val="0"/>
              <w:bidi w:val="0"/>
              <w:spacing w:beforeAutospacing="0" w:afterAutospacing="0" w:line="324" w:lineRule="auto"/>
              <w:ind w:firstLine="0"/>
              <w:jc w:val="center"/>
              <w:rPr>
                <w:rFonts w:hint="eastAsia" w:ascii="宋体" w:hAnsi="宋体" w:eastAsia="宋体" w:cs="宋体"/>
                <w:b/>
                <w:color w:val="000000" w:themeColor="text1"/>
                <w:kern w:val="0"/>
                <w:sz w:val="20"/>
                <w:szCs w:val="20"/>
                <w:highlight w:val="none"/>
                <w14:textFill>
                  <w14:solidFill>
                    <w14:schemeClr w14:val="tx1"/>
                  </w14:solidFill>
                </w14:textFill>
              </w:rPr>
            </w:pPr>
            <w:r>
              <w:rPr>
                <w:rFonts w:hint="eastAsia" w:ascii="宋体" w:hAnsi="宋体" w:eastAsia="宋体" w:cs="宋体"/>
                <w:b/>
                <w:color w:val="000000" w:themeColor="text1"/>
                <w:kern w:val="0"/>
                <w:sz w:val="20"/>
                <w:szCs w:val="20"/>
                <w:highlight w:val="none"/>
                <w14:textFill>
                  <w14:solidFill>
                    <w14:schemeClr w14:val="tx1"/>
                  </w14:solidFill>
                </w14:textFill>
              </w:rPr>
              <w:t>计量单位</w:t>
            </w:r>
          </w:p>
        </w:tc>
        <w:tc>
          <w:tcPr>
            <w:tcW w:w="1417" w:type="dxa"/>
            <w:vAlign w:val="center"/>
          </w:tcPr>
          <w:p w14:paraId="71067F6D">
            <w:pPr>
              <w:pStyle w:val="3"/>
              <w:keepNext w:val="0"/>
              <w:keepLines w:val="0"/>
              <w:pageBreakBefore w:val="0"/>
              <w:wordWrap/>
              <w:overflowPunct/>
              <w:topLinePunct w:val="0"/>
              <w:bidi w:val="0"/>
              <w:spacing w:beforeAutospacing="0" w:afterAutospacing="0" w:line="324" w:lineRule="auto"/>
              <w:ind w:firstLine="0"/>
              <w:jc w:val="center"/>
              <w:rPr>
                <w:rFonts w:hint="eastAsia" w:ascii="宋体" w:hAnsi="宋体" w:eastAsia="宋体" w:cs="宋体"/>
                <w:b/>
                <w:color w:val="000000" w:themeColor="text1"/>
                <w:kern w:val="0"/>
                <w:sz w:val="20"/>
                <w:szCs w:val="20"/>
                <w:highlight w:val="none"/>
                <w14:textFill>
                  <w14:solidFill>
                    <w14:schemeClr w14:val="tx1"/>
                  </w14:solidFill>
                </w14:textFill>
              </w:rPr>
            </w:pPr>
            <w:r>
              <w:rPr>
                <w:rFonts w:hint="eastAsia" w:ascii="宋体" w:hAnsi="宋体" w:eastAsia="宋体" w:cs="宋体"/>
                <w:b/>
                <w:color w:val="000000" w:themeColor="text1"/>
                <w:kern w:val="0"/>
                <w:sz w:val="20"/>
                <w:szCs w:val="20"/>
                <w:highlight w:val="none"/>
                <w14:textFill>
                  <w14:solidFill>
                    <w14:schemeClr w14:val="tx1"/>
                  </w14:solidFill>
                </w14:textFill>
              </w:rPr>
              <w:t>数量</w:t>
            </w:r>
          </w:p>
        </w:tc>
        <w:tc>
          <w:tcPr>
            <w:tcW w:w="1559" w:type="dxa"/>
            <w:vAlign w:val="center"/>
          </w:tcPr>
          <w:p w14:paraId="1BB55116">
            <w:pPr>
              <w:pStyle w:val="3"/>
              <w:keepNext w:val="0"/>
              <w:keepLines w:val="0"/>
              <w:pageBreakBefore w:val="0"/>
              <w:wordWrap/>
              <w:overflowPunct/>
              <w:topLinePunct w:val="0"/>
              <w:bidi w:val="0"/>
              <w:spacing w:beforeAutospacing="0" w:afterAutospacing="0" w:line="324" w:lineRule="auto"/>
              <w:ind w:firstLine="0"/>
              <w:jc w:val="center"/>
              <w:rPr>
                <w:rFonts w:hint="eastAsia" w:ascii="宋体" w:hAnsi="宋体" w:eastAsia="宋体" w:cs="宋体"/>
                <w:b/>
                <w:color w:val="000000" w:themeColor="text1"/>
                <w:kern w:val="0"/>
                <w:sz w:val="20"/>
                <w:szCs w:val="20"/>
                <w:highlight w:val="none"/>
                <w14:textFill>
                  <w14:solidFill>
                    <w14:schemeClr w14:val="tx1"/>
                  </w14:solidFill>
                </w14:textFill>
              </w:rPr>
            </w:pPr>
            <w:r>
              <w:rPr>
                <w:rFonts w:hint="eastAsia" w:ascii="宋体" w:hAnsi="宋体" w:eastAsia="宋体" w:cs="宋体"/>
                <w:b/>
                <w:color w:val="000000" w:themeColor="text1"/>
                <w:kern w:val="0"/>
                <w:sz w:val="20"/>
                <w:szCs w:val="20"/>
                <w:highlight w:val="none"/>
                <w14:textFill>
                  <w14:solidFill>
                    <w14:schemeClr w14:val="tx1"/>
                  </w14:solidFill>
                </w14:textFill>
              </w:rPr>
              <w:t>服务费用</w:t>
            </w:r>
          </w:p>
        </w:tc>
      </w:tr>
      <w:tr w14:paraId="70D796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17D91364">
            <w:pPr>
              <w:pStyle w:val="10"/>
              <w:keepNext w:val="0"/>
              <w:keepLines w:val="0"/>
              <w:pageBreakBefore w:val="0"/>
              <w:wordWrap/>
              <w:overflowPunct/>
              <w:topLinePunct w:val="0"/>
              <w:bidi w:val="0"/>
              <w:spacing w:before="0" w:beforeAutospacing="0" w:afterAutospacing="0" w:line="324" w:lineRule="auto"/>
              <w:ind w:firstLine="210"/>
              <w:rPr>
                <w:rFonts w:hint="eastAsia" w:ascii="宋体" w:hAnsi="宋体" w:eastAsia="宋体" w:cs="宋体"/>
                <w:snapToGrid/>
                <w:color w:val="000000" w:themeColor="text1"/>
                <w:sz w:val="20"/>
                <w:szCs w:val="20"/>
                <w:highlight w:val="none"/>
                <w14:textFill>
                  <w14:solidFill>
                    <w14:schemeClr w14:val="tx1"/>
                  </w14:solidFill>
                </w14:textFill>
              </w:rPr>
            </w:pPr>
          </w:p>
        </w:tc>
        <w:tc>
          <w:tcPr>
            <w:tcW w:w="2578" w:type="dxa"/>
            <w:vAlign w:val="center"/>
          </w:tcPr>
          <w:p w14:paraId="5C5697B0">
            <w:pPr>
              <w:pStyle w:val="10"/>
              <w:keepNext w:val="0"/>
              <w:keepLines w:val="0"/>
              <w:pageBreakBefore w:val="0"/>
              <w:wordWrap/>
              <w:overflowPunct/>
              <w:topLinePunct w:val="0"/>
              <w:bidi w:val="0"/>
              <w:spacing w:before="0" w:beforeAutospacing="0" w:afterAutospacing="0" w:line="324" w:lineRule="auto"/>
              <w:ind w:firstLine="210"/>
              <w:rPr>
                <w:rFonts w:hint="eastAsia" w:ascii="宋体" w:hAnsi="宋体" w:eastAsia="宋体" w:cs="宋体"/>
                <w:snapToGrid/>
                <w:color w:val="000000" w:themeColor="text1"/>
                <w:sz w:val="20"/>
                <w:szCs w:val="20"/>
                <w:highlight w:val="none"/>
                <w14:textFill>
                  <w14:solidFill>
                    <w14:schemeClr w14:val="tx1"/>
                  </w14:solidFill>
                </w14:textFill>
              </w:rPr>
            </w:pPr>
          </w:p>
        </w:tc>
        <w:tc>
          <w:tcPr>
            <w:tcW w:w="1985" w:type="dxa"/>
            <w:vAlign w:val="center"/>
          </w:tcPr>
          <w:p w14:paraId="57465B90">
            <w:pPr>
              <w:pStyle w:val="10"/>
              <w:keepNext w:val="0"/>
              <w:keepLines w:val="0"/>
              <w:pageBreakBefore w:val="0"/>
              <w:wordWrap/>
              <w:overflowPunct/>
              <w:topLinePunct w:val="0"/>
              <w:bidi w:val="0"/>
              <w:spacing w:before="0" w:beforeAutospacing="0" w:afterAutospacing="0" w:line="324" w:lineRule="auto"/>
              <w:ind w:firstLine="210"/>
              <w:rPr>
                <w:rFonts w:hint="eastAsia" w:ascii="宋体" w:hAnsi="宋体" w:eastAsia="宋体" w:cs="宋体"/>
                <w:snapToGrid/>
                <w:color w:val="000000" w:themeColor="text1"/>
                <w:sz w:val="20"/>
                <w:szCs w:val="20"/>
                <w:highlight w:val="none"/>
                <w14:textFill>
                  <w14:solidFill>
                    <w14:schemeClr w14:val="tx1"/>
                  </w14:solidFill>
                </w14:textFill>
              </w:rPr>
            </w:pPr>
          </w:p>
        </w:tc>
        <w:tc>
          <w:tcPr>
            <w:tcW w:w="1276" w:type="dxa"/>
            <w:vAlign w:val="center"/>
          </w:tcPr>
          <w:p w14:paraId="3F628C4B">
            <w:pPr>
              <w:keepNext w:val="0"/>
              <w:keepLines w:val="0"/>
              <w:pageBreakBefore w:val="0"/>
              <w:wordWrap/>
              <w:overflowPunct/>
              <w:topLinePunct w:val="0"/>
              <w:bidi w:val="0"/>
              <w:spacing w:beforeAutospacing="0" w:afterAutospacing="0" w:line="324" w:lineRule="auto"/>
              <w:ind w:left="5250" w:right="-199" w:firstLine="420"/>
              <w:jc w:val="center"/>
              <w:rPr>
                <w:rFonts w:hint="eastAsia" w:ascii="宋体" w:hAnsi="宋体" w:eastAsia="宋体" w:cs="宋体"/>
                <w:bCs/>
                <w:snapToGrid w:val="0"/>
                <w:color w:val="000000" w:themeColor="text1"/>
                <w:kern w:val="0"/>
                <w:sz w:val="20"/>
                <w:szCs w:val="20"/>
                <w:highlight w:val="none"/>
                <w14:textFill>
                  <w14:solidFill>
                    <w14:schemeClr w14:val="tx1"/>
                  </w14:solidFill>
                </w14:textFill>
              </w:rPr>
            </w:pPr>
            <w:r>
              <w:rPr>
                <w:rFonts w:hint="eastAsia" w:ascii="宋体" w:hAnsi="宋体" w:eastAsia="宋体" w:cs="宋体"/>
                <w:bCs/>
                <w:snapToGrid w:val="0"/>
                <w:color w:val="000000" w:themeColor="text1"/>
                <w:kern w:val="0"/>
                <w:sz w:val="20"/>
                <w:szCs w:val="20"/>
                <w:highlight w:val="none"/>
                <w14:textFill>
                  <w14:solidFill>
                    <w14:schemeClr w14:val="tx1"/>
                  </w14:solidFill>
                </w14:textFill>
              </w:rPr>
              <w:t>个</w:t>
            </w:r>
          </w:p>
        </w:tc>
        <w:tc>
          <w:tcPr>
            <w:tcW w:w="1417" w:type="dxa"/>
            <w:vAlign w:val="center"/>
          </w:tcPr>
          <w:p w14:paraId="504F2966">
            <w:pPr>
              <w:keepNext w:val="0"/>
              <w:keepLines w:val="0"/>
              <w:pageBreakBefore w:val="0"/>
              <w:wordWrap/>
              <w:overflowPunct/>
              <w:topLinePunct w:val="0"/>
              <w:bidi w:val="0"/>
              <w:spacing w:beforeAutospacing="0" w:afterAutospacing="0" w:line="324" w:lineRule="auto"/>
              <w:ind w:left="5250" w:right="-199" w:firstLine="420"/>
              <w:jc w:val="center"/>
              <w:rPr>
                <w:rFonts w:hint="eastAsia" w:ascii="宋体" w:hAnsi="宋体" w:eastAsia="宋体" w:cs="宋体"/>
                <w:bCs/>
                <w:snapToGrid w:val="0"/>
                <w:color w:val="000000" w:themeColor="text1"/>
                <w:kern w:val="0"/>
                <w:sz w:val="20"/>
                <w:szCs w:val="20"/>
                <w:highlight w:val="none"/>
                <w14:textFill>
                  <w14:solidFill>
                    <w14:schemeClr w14:val="tx1"/>
                  </w14:solidFill>
                </w14:textFill>
              </w:rPr>
            </w:pPr>
          </w:p>
        </w:tc>
        <w:tc>
          <w:tcPr>
            <w:tcW w:w="1559" w:type="dxa"/>
            <w:vAlign w:val="center"/>
          </w:tcPr>
          <w:p w14:paraId="37EACA5B">
            <w:pPr>
              <w:keepNext w:val="0"/>
              <w:keepLines w:val="0"/>
              <w:pageBreakBefore w:val="0"/>
              <w:wordWrap/>
              <w:overflowPunct/>
              <w:topLinePunct w:val="0"/>
              <w:bidi w:val="0"/>
              <w:spacing w:beforeAutospacing="0" w:afterAutospacing="0" w:line="324" w:lineRule="auto"/>
              <w:ind w:left="5250" w:right="-199" w:firstLine="420"/>
              <w:jc w:val="center"/>
              <w:rPr>
                <w:rFonts w:hint="eastAsia" w:ascii="宋体" w:hAnsi="宋体" w:eastAsia="宋体" w:cs="宋体"/>
                <w:bCs/>
                <w:snapToGrid w:val="0"/>
                <w:color w:val="000000" w:themeColor="text1"/>
                <w:kern w:val="0"/>
                <w:sz w:val="20"/>
                <w:szCs w:val="20"/>
                <w:highlight w:val="none"/>
                <w14:textFill>
                  <w14:solidFill>
                    <w14:schemeClr w14:val="tx1"/>
                  </w14:solidFill>
                </w14:textFill>
              </w:rPr>
            </w:pPr>
          </w:p>
        </w:tc>
      </w:tr>
      <w:tr w14:paraId="4A9E38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4A97BCEE">
            <w:pPr>
              <w:pStyle w:val="10"/>
              <w:keepNext w:val="0"/>
              <w:keepLines w:val="0"/>
              <w:pageBreakBefore w:val="0"/>
              <w:wordWrap/>
              <w:overflowPunct/>
              <w:topLinePunct w:val="0"/>
              <w:bidi w:val="0"/>
              <w:spacing w:before="0" w:beforeAutospacing="0" w:afterAutospacing="0" w:line="324" w:lineRule="auto"/>
              <w:ind w:firstLine="210"/>
              <w:rPr>
                <w:rFonts w:hint="eastAsia" w:ascii="宋体" w:hAnsi="宋体" w:eastAsia="宋体" w:cs="宋体"/>
                <w:snapToGrid/>
                <w:color w:val="000000" w:themeColor="text1"/>
                <w:sz w:val="20"/>
                <w:szCs w:val="20"/>
                <w:highlight w:val="none"/>
                <w14:textFill>
                  <w14:solidFill>
                    <w14:schemeClr w14:val="tx1"/>
                  </w14:solidFill>
                </w14:textFill>
              </w:rPr>
            </w:pPr>
          </w:p>
        </w:tc>
        <w:tc>
          <w:tcPr>
            <w:tcW w:w="2578" w:type="dxa"/>
            <w:vAlign w:val="center"/>
          </w:tcPr>
          <w:p w14:paraId="26429F49">
            <w:pPr>
              <w:pStyle w:val="10"/>
              <w:keepNext w:val="0"/>
              <w:keepLines w:val="0"/>
              <w:pageBreakBefore w:val="0"/>
              <w:wordWrap/>
              <w:overflowPunct/>
              <w:topLinePunct w:val="0"/>
              <w:bidi w:val="0"/>
              <w:spacing w:before="0" w:beforeAutospacing="0" w:afterAutospacing="0" w:line="324" w:lineRule="auto"/>
              <w:ind w:firstLine="210"/>
              <w:rPr>
                <w:rFonts w:hint="eastAsia" w:ascii="宋体" w:hAnsi="宋体" w:eastAsia="宋体" w:cs="宋体"/>
                <w:snapToGrid/>
                <w:color w:val="000000" w:themeColor="text1"/>
                <w:sz w:val="20"/>
                <w:szCs w:val="20"/>
                <w:highlight w:val="none"/>
                <w14:textFill>
                  <w14:solidFill>
                    <w14:schemeClr w14:val="tx1"/>
                  </w14:solidFill>
                </w14:textFill>
              </w:rPr>
            </w:pPr>
          </w:p>
        </w:tc>
        <w:tc>
          <w:tcPr>
            <w:tcW w:w="1985" w:type="dxa"/>
            <w:vAlign w:val="center"/>
          </w:tcPr>
          <w:p w14:paraId="668B4126">
            <w:pPr>
              <w:pStyle w:val="10"/>
              <w:keepNext w:val="0"/>
              <w:keepLines w:val="0"/>
              <w:pageBreakBefore w:val="0"/>
              <w:wordWrap/>
              <w:overflowPunct/>
              <w:topLinePunct w:val="0"/>
              <w:bidi w:val="0"/>
              <w:spacing w:before="0" w:beforeAutospacing="0" w:afterAutospacing="0" w:line="324" w:lineRule="auto"/>
              <w:ind w:firstLine="210"/>
              <w:rPr>
                <w:rFonts w:hint="eastAsia" w:ascii="宋体" w:hAnsi="宋体" w:eastAsia="宋体" w:cs="宋体"/>
                <w:snapToGrid/>
                <w:color w:val="000000" w:themeColor="text1"/>
                <w:sz w:val="20"/>
                <w:szCs w:val="20"/>
                <w:highlight w:val="none"/>
                <w14:textFill>
                  <w14:solidFill>
                    <w14:schemeClr w14:val="tx1"/>
                  </w14:solidFill>
                </w14:textFill>
              </w:rPr>
            </w:pPr>
          </w:p>
        </w:tc>
        <w:tc>
          <w:tcPr>
            <w:tcW w:w="1276" w:type="dxa"/>
            <w:vAlign w:val="center"/>
          </w:tcPr>
          <w:p w14:paraId="54B996EE">
            <w:pPr>
              <w:keepNext w:val="0"/>
              <w:keepLines w:val="0"/>
              <w:pageBreakBefore w:val="0"/>
              <w:wordWrap/>
              <w:overflowPunct/>
              <w:topLinePunct w:val="0"/>
              <w:bidi w:val="0"/>
              <w:spacing w:beforeAutospacing="0" w:afterAutospacing="0" w:line="324" w:lineRule="auto"/>
              <w:ind w:left="5250" w:right="-199" w:firstLine="420"/>
              <w:jc w:val="center"/>
              <w:rPr>
                <w:rFonts w:hint="eastAsia" w:ascii="宋体" w:hAnsi="宋体" w:eastAsia="宋体" w:cs="宋体"/>
                <w:bCs/>
                <w:snapToGrid w:val="0"/>
                <w:color w:val="000000" w:themeColor="text1"/>
                <w:kern w:val="0"/>
                <w:sz w:val="20"/>
                <w:szCs w:val="20"/>
                <w:highlight w:val="none"/>
                <w14:textFill>
                  <w14:solidFill>
                    <w14:schemeClr w14:val="tx1"/>
                  </w14:solidFill>
                </w14:textFill>
              </w:rPr>
            </w:pPr>
          </w:p>
        </w:tc>
        <w:tc>
          <w:tcPr>
            <w:tcW w:w="1417" w:type="dxa"/>
            <w:vAlign w:val="center"/>
          </w:tcPr>
          <w:p w14:paraId="3DE3396D">
            <w:pPr>
              <w:keepNext w:val="0"/>
              <w:keepLines w:val="0"/>
              <w:pageBreakBefore w:val="0"/>
              <w:wordWrap/>
              <w:overflowPunct/>
              <w:topLinePunct w:val="0"/>
              <w:bidi w:val="0"/>
              <w:spacing w:beforeAutospacing="0" w:afterAutospacing="0" w:line="324" w:lineRule="auto"/>
              <w:ind w:left="5250" w:right="-199" w:firstLine="420"/>
              <w:jc w:val="center"/>
              <w:rPr>
                <w:rFonts w:hint="eastAsia" w:ascii="宋体" w:hAnsi="宋体" w:eastAsia="宋体" w:cs="宋体"/>
                <w:bCs/>
                <w:snapToGrid w:val="0"/>
                <w:color w:val="000000" w:themeColor="text1"/>
                <w:kern w:val="0"/>
                <w:sz w:val="20"/>
                <w:szCs w:val="20"/>
                <w:highlight w:val="none"/>
                <w14:textFill>
                  <w14:solidFill>
                    <w14:schemeClr w14:val="tx1"/>
                  </w14:solidFill>
                </w14:textFill>
              </w:rPr>
            </w:pPr>
          </w:p>
        </w:tc>
        <w:tc>
          <w:tcPr>
            <w:tcW w:w="1559" w:type="dxa"/>
            <w:vAlign w:val="center"/>
          </w:tcPr>
          <w:p w14:paraId="0FD34186">
            <w:pPr>
              <w:keepNext w:val="0"/>
              <w:keepLines w:val="0"/>
              <w:pageBreakBefore w:val="0"/>
              <w:wordWrap/>
              <w:overflowPunct/>
              <w:topLinePunct w:val="0"/>
              <w:bidi w:val="0"/>
              <w:spacing w:beforeAutospacing="0" w:afterAutospacing="0" w:line="324" w:lineRule="auto"/>
              <w:ind w:left="5250" w:right="-199" w:firstLine="420"/>
              <w:jc w:val="center"/>
              <w:rPr>
                <w:rFonts w:hint="eastAsia" w:ascii="宋体" w:hAnsi="宋体" w:eastAsia="宋体" w:cs="宋体"/>
                <w:bCs/>
                <w:snapToGrid w:val="0"/>
                <w:color w:val="000000" w:themeColor="text1"/>
                <w:kern w:val="0"/>
                <w:sz w:val="20"/>
                <w:szCs w:val="20"/>
                <w:highlight w:val="none"/>
                <w14:textFill>
                  <w14:solidFill>
                    <w14:schemeClr w14:val="tx1"/>
                  </w14:solidFill>
                </w14:textFill>
              </w:rPr>
            </w:pPr>
          </w:p>
        </w:tc>
      </w:tr>
      <w:tr w14:paraId="3C5FE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jc w:val="center"/>
        </w:trPr>
        <w:tc>
          <w:tcPr>
            <w:tcW w:w="9636" w:type="dxa"/>
            <w:gridSpan w:val="6"/>
            <w:vAlign w:val="center"/>
          </w:tcPr>
          <w:p w14:paraId="152AB587">
            <w:pPr>
              <w:keepNext w:val="0"/>
              <w:keepLines w:val="0"/>
              <w:pageBreakBefore w:val="0"/>
              <w:widowControl w:val="0"/>
              <w:kinsoku/>
              <w:wordWrap/>
              <w:overflowPunct/>
              <w:topLinePunct w:val="0"/>
              <w:autoSpaceDE/>
              <w:autoSpaceDN/>
              <w:bidi w:val="0"/>
              <w:adjustRightInd/>
              <w:snapToGrid/>
              <w:spacing w:beforeAutospacing="0" w:afterAutospacing="0" w:line="324" w:lineRule="auto"/>
              <w:textAlignment w:val="auto"/>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b/>
                <w:bCs/>
                <w:color w:val="000000" w:themeColor="text1"/>
                <w:kern w:val="0"/>
                <w:sz w:val="20"/>
                <w:szCs w:val="20"/>
                <w:highlight w:val="none"/>
                <w14:textFill>
                  <w14:solidFill>
                    <w14:schemeClr w14:val="tx1"/>
                  </w14:solidFill>
                </w14:textFill>
              </w:rPr>
              <w:t>注：</w:t>
            </w:r>
            <w:r>
              <w:rPr>
                <w:rFonts w:hint="eastAsia" w:ascii="宋体" w:hAnsi="宋体" w:eastAsia="宋体" w:cs="宋体"/>
                <w:b w:val="0"/>
                <w:bCs w:val="0"/>
                <w:color w:val="000000" w:themeColor="text1"/>
                <w:kern w:val="0"/>
                <w:sz w:val="20"/>
                <w:szCs w:val="20"/>
                <w:highlight w:val="none"/>
                <w:lang w:val="en-US" w:eastAsia="zh-CN"/>
                <w14:textFill>
                  <w14:solidFill>
                    <w14:schemeClr w14:val="tx1"/>
                  </w14:solidFill>
                </w14:textFill>
              </w:rPr>
              <w:t>合同</w:t>
            </w:r>
            <w:r>
              <w:rPr>
                <w:rFonts w:hint="eastAsia" w:ascii="宋体" w:hAnsi="宋体" w:eastAsia="宋体" w:cs="宋体"/>
                <w:i w:val="0"/>
                <w:iCs w:val="0"/>
                <w:caps w:val="0"/>
                <w:color w:val="000000" w:themeColor="text1"/>
                <w:spacing w:val="0"/>
                <w:sz w:val="20"/>
                <w:szCs w:val="20"/>
                <w:highlight w:val="none"/>
                <w:shd w:val="clear" w:color="auto" w:fill="FFFFFF"/>
                <w:lang w:val="en-US" w:eastAsia="zh-CN"/>
                <w14:textFill>
                  <w14:solidFill>
                    <w14:schemeClr w14:val="tx1"/>
                  </w14:solidFill>
                </w14:textFill>
              </w:rPr>
              <w:t>价款是完成全部服务内容</w:t>
            </w:r>
            <w:r>
              <w:rPr>
                <w:rFonts w:hint="eastAsia" w:ascii="宋体" w:hAnsi="宋体" w:eastAsia="宋体" w:cs="宋体"/>
                <w:b w:val="0"/>
                <w:bCs w:val="0"/>
                <w:color w:val="000000" w:themeColor="text1"/>
                <w:kern w:val="0"/>
                <w:sz w:val="20"/>
                <w:szCs w:val="20"/>
                <w:highlight w:val="none"/>
                <w14:textFill>
                  <w14:solidFill>
                    <w14:schemeClr w14:val="tx1"/>
                  </w14:solidFill>
                </w14:textFill>
              </w:rPr>
              <w:t>所需的直接</w:t>
            </w:r>
            <w:r>
              <w:rPr>
                <w:rFonts w:hint="eastAsia" w:ascii="宋体" w:hAnsi="宋体" w:eastAsia="宋体" w:cs="宋体"/>
                <w:b w:val="0"/>
                <w:bCs w:val="0"/>
                <w:color w:val="000000" w:themeColor="text1"/>
                <w:kern w:val="0"/>
                <w:sz w:val="20"/>
                <w:szCs w:val="20"/>
                <w:highlight w:val="none"/>
                <w:lang w:eastAsia="zh-CN"/>
                <w14:textFill>
                  <w14:solidFill>
                    <w14:schemeClr w14:val="tx1"/>
                  </w14:solidFill>
                </w14:textFill>
              </w:rPr>
              <w:t>费用</w:t>
            </w:r>
            <w:r>
              <w:rPr>
                <w:rFonts w:hint="eastAsia" w:ascii="宋体" w:hAnsi="宋体" w:eastAsia="宋体" w:cs="宋体"/>
                <w:b w:val="0"/>
                <w:bCs w:val="0"/>
                <w:color w:val="000000" w:themeColor="text1"/>
                <w:kern w:val="0"/>
                <w:sz w:val="20"/>
                <w:szCs w:val="20"/>
                <w:highlight w:val="none"/>
                <w14:textFill>
                  <w14:solidFill>
                    <w14:schemeClr w14:val="tx1"/>
                  </w14:solidFill>
                </w14:textFill>
              </w:rPr>
              <w:t>、间接费、利润、税金及其它相关的一切费用，包括但不限于：</w:t>
            </w:r>
            <w:r>
              <w:rPr>
                <w:rFonts w:hint="eastAsia" w:ascii="宋体" w:hAnsi="宋体" w:eastAsia="宋体" w:cs="宋体"/>
                <w:i w:val="0"/>
                <w:iCs w:val="0"/>
                <w:caps w:val="0"/>
                <w:color w:val="000000" w:themeColor="text1"/>
                <w:spacing w:val="0"/>
                <w:sz w:val="20"/>
                <w:szCs w:val="20"/>
                <w:highlight w:val="none"/>
                <w:shd w:val="clear" w:color="auto" w:fill="FFFFFF"/>
                <w:lang w:val="en-US" w:eastAsia="zh-CN"/>
                <w14:textFill>
                  <w14:solidFill>
                    <w14:schemeClr w14:val="tx1"/>
                  </w14:solidFill>
                </w14:textFill>
              </w:rPr>
              <w:t>服务费、人工费、设备使用费、资料费、管理费、</w:t>
            </w:r>
            <w:r>
              <w:rPr>
                <w:rFonts w:hint="eastAsia" w:ascii="宋体" w:hAnsi="宋体" w:eastAsia="宋体" w:cs="宋体"/>
                <w:b w:val="0"/>
                <w:bCs w:val="0"/>
                <w:color w:val="000000" w:themeColor="text1"/>
                <w:kern w:val="0"/>
                <w:sz w:val="20"/>
                <w:szCs w:val="20"/>
                <w:highlight w:val="none"/>
                <w14:textFill>
                  <w14:solidFill>
                    <w14:schemeClr w14:val="tx1"/>
                  </w14:solidFill>
                </w14:textFill>
              </w:rPr>
              <w:t>验收费、利润</w:t>
            </w:r>
            <w:r>
              <w:rPr>
                <w:rFonts w:hint="eastAsia" w:ascii="宋体" w:hAnsi="宋体" w:eastAsia="宋体" w:cs="宋体"/>
                <w:b w:val="0"/>
                <w:bCs w:val="0"/>
                <w:color w:val="000000" w:themeColor="text1"/>
                <w:kern w:val="0"/>
                <w:sz w:val="20"/>
                <w:szCs w:val="20"/>
                <w:highlight w:val="none"/>
                <w:lang w:eastAsia="zh-CN"/>
                <w14:textFill>
                  <w14:solidFill>
                    <w14:schemeClr w14:val="tx1"/>
                  </w14:solidFill>
                </w14:textFill>
              </w:rPr>
              <w:t>、</w:t>
            </w:r>
            <w:r>
              <w:rPr>
                <w:rFonts w:hint="eastAsia" w:ascii="宋体" w:hAnsi="宋体" w:eastAsia="宋体" w:cs="宋体"/>
                <w:b w:val="0"/>
                <w:bCs w:val="0"/>
                <w:color w:val="000000" w:themeColor="text1"/>
                <w:kern w:val="0"/>
                <w:sz w:val="20"/>
                <w:szCs w:val="20"/>
                <w:highlight w:val="none"/>
                <w:lang w:val="en-US" w:eastAsia="zh-CN"/>
                <w14:textFill>
                  <w14:solidFill>
                    <w14:schemeClr w14:val="tx1"/>
                  </w14:solidFill>
                </w14:textFill>
              </w:rPr>
              <w:t>税金</w:t>
            </w:r>
            <w:r>
              <w:rPr>
                <w:rFonts w:hint="eastAsia" w:ascii="宋体" w:hAnsi="宋体" w:eastAsia="宋体" w:cs="宋体"/>
                <w:b w:val="0"/>
                <w:bCs w:val="0"/>
                <w:color w:val="000000" w:themeColor="text1"/>
                <w:kern w:val="0"/>
                <w:sz w:val="20"/>
                <w:szCs w:val="20"/>
                <w:highlight w:val="none"/>
                <w14:textFill>
                  <w14:solidFill>
                    <w14:schemeClr w14:val="tx1"/>
                  </w14:solidFill>
                </w14:textFill>
              </w:rPr>
              <w:t>及不可预见费等全部费用；在提供服务的过程中的任何遗漏，均由乙方免费提供，甲方将不再支付任何费用。</w:t>
            </w:r>
          </w:p>
        </w:tc>
      </w:tr>
    </w:tbl>
    <w:p w14:paraId="3B09BBBF">
      <w:pPr>
        <w:keepNext w:val="0"/>
        <w:keepLines w:val="0"/>
        <w:pageBreakBefore w:val="0"/>
        <w:widowControl w:val="0"/>
        <w:kinsoku/>
        <w:wordWrap/>
        <w:overflowPunct/>
        <w:topLinePunct w:val="0"/>
        <w:autoSpaceDE/>
        <w:autoSpaceDN/>
        <w:bidi w:val="0"/>
        <w:adjustRightInd/>
        <w:snapToGrid/>
        <w:spacing w:beforeAutospacing="0" w:afterAutospacing="0" w:line="324" w:lineRule="auto"/>
        <w:ind w:left="11" w:right="-199" w:firstLine="400" w:firstLineChars="200"/>
        <w:textAlignment w:val="auto"/>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w:t>
      </w:r>
      <w:r>
        <w:rPr>
          <w:rFonts w:hint="eastAsia" w:ascii="宋体" w:hAnsi="宋体" w:eastAsia="宋体" w:cs="宋体"/>
          <w:color w:val="000000" w:themeColor="text1"/>
          <w:kern w:val="2"/>
          <w:sz w:val="20"/>
          <w:szCs w:val="20"/>
          <w:highlight w:val="none"/>
          <w:lang w:val="en-US" w:eastAsia="zh-CN" w:bidi="ar-SA"/>
          <w14:textFill>
            <w14:solidFill>
              <w14:schemeClr w14:val="tx1"/>
            </w14:solidFill>
          </w14:textFill>
        </w:rPr>
        <w:t>成果文件提交后7日内，甲方支付合同总额的60%；成果文件获得有关主管部门审查批复后，30日内甲方一次性支付剩余服务费用</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p>
    <w:p w14:paraId="5C26781F">
      <w:pPr>
        <w:keepNext w:val="0"/>
        <w:keepLines w:val="0"/>
        <w:pageBreakBefore w:val="0"/>
        <w:widowControl w:val="0"/>
        <w:kinsoku/>
        <w:wordWrap/>
        <w:overflowPunct/>
        <w:topLinePunct w:val="0"/>
        <w:autoSpaceDE/>
        <w:autoSpaceDN/>
        <w:bidi w:val="0"/>
        <w:adjustRightInd/>
        <w:snapToGrid/>
        <w:spacing w:beforeAutospacing="0" w:afterAutospacing="0" w:line="324" w:lineRule="auto"/>
        <w:ind w:firstLine="42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付款前，乙方应开具与付款金额一致的正式发票给甲方，甲方收到发票后以转账形式支付给乙方服务费用，否则，甲方有权拒绝付款且不承担任何违约责任，且乙方不得以此为由停止履行本合同项下的任意义务。</w:t>
      </w:r>
    </w:p>
    <w:p w14:paraId="788FA830">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4、因甲方所有的付款均需审批，本合同履行期间，非因甲方故意拖延付款申请流程造成的逾期付款的，乙方对此予以谅解</w:t>
      </w:r>
      <w:r>
        <w:rPr>
          <w:rFonts w:hint="eastAsia" w:ascii="宋体" w:hAnsi="宋体" w:eastAsia="宋体" w:cs="宋体"/>
          <w:color w:val="000000" w:themeColor="text1"/>
          <w:sz w:val="20"/>
          <w:szCs w:val="20"/>
          <w:highlight w:val="none"/>
          <w:lang w:val="en-US" w:eastAsia="zh-CN"/>
          <w14:textFill>
            <w14:solidFill>
              <w14:schemeClr w14:val="tx1"/>
            </w14:solidFill>
          </w14:textFill>
        </w:rPr>
        <w:t>且</w:t>
      </w:r>
      <w:r>
        <w:rPr>
          <w:rFonts w:hint="eastAsia" w:ascii="宋体" w:hAnsi="宋体" w:eastAsia="宋体" w:cs="宋体"/>
          <w:color w:val="000000" w:themeColor="text1"/>
          <w:sz w:val="20"/>
          <w:szCs w:val="20"/>
          <w:highlight w:val="none"/>
          <w14:textFill>
            <w14:solidFill>
              <w14:schemeClr w14:val="tx1"/>
            </w14:solidFill>
          </w14:textFill>
        </w:rPr>
        <w:t>不得追究甲方的逾期付款责任。</w:t>
      </w:r>
    </w:p>
    <w:p w14:paraId="1536A0C2">
      <w:pPr>
        <w:keepNext w:val="0"/>
        <w:keepLines w:val="0"/>
        <w:pageBreakBefore w:val="0"/>
        <w:widowControl w:val="0"/>
        <w:kinsoku/>
        <w:wordWrap/>
        <w:overflowPunct/>
        <w:topLinePunct w:val="0"/>
        <w:autoSpaceDE/>
        <w:autoSpaceDN/>
        <w:bidi w:val="0"/>
        <w:adjustRightInd/>
        <w:snapToGrid/>
        <w:spacing w:beforeAutospacing="0" w:afterAutospacing="0" w:line="324" w:lineRule="auto"/>
        <w:ind w:firstLine="42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5、</w:t>
      </w:r>
      <w:r>
        <w:rPr>
          <w:rFonts w:hint="eastAsia" w:ascii="宋体" w:hAnsi="宋体" w:eastAsia="宋体" w:cs="宋体"/>
          <w:color w:val="000000" w:themeColor="text1"/>
          <w:sz w:val="20"/>
          <w:szCs w:val="20"/>
          <w:highlight w:val="none"/>
          <w14:textFill>
            <w14:solidFill>
              <w14:schemeClr w14:val="tx1"/>
            </w14:solidFill>
          </w14:textFill>
        </w:rPr>
        <w:t>甲方可直接或间接</w:t>
      </w:r>
      <w:r>
        <w:rPr>
          <w:rFonts w:hint="eastAsia" w:ascii="宋体" w:hAnsi="宋体" w:eastAsia="宋体" w:cs="宋体"/>
          <w:color w:val="000000" w:themeColor="text1"/>
          <w:sz w:val="20"/>
          <w:szCs w:val="20"/>
          <w:highlight w:val="none"/>
          <w:lang w:eastAsia="zh-CN"/>
          <w14:textFill>
            <w14:solidFill>
              <w14:schemeClr w14:val="tx1"/>
            </w14:solidFill>
          </w14:textFill>
        </w:rPr>
        <w:t>地</w:t>
      </w:r>
      <w:r>
        <w:rPr>
          <w:rFonts w:hint="eastAsia" w:ascii="宋体" w:hAnsi="宋体" w:eastAsia="宋体" w:cs="宋体"/>
          <w:color w:val="000000" w:themeColor="text1"/>
          <w:sz w:val="20"/>
          <w:szCs w:val="20"/>
          <w:highlight w:val="none"/>
          <w14:textFill>
            <w14:solidFill>
              <w14:schemeClr w14:val="tx1"/>
            </w14:solidFill>
          </w14:textFill>
        </w:rPr>
        <w:t>根据政府购买服务绩效管理办法对项目进行绩效评价，资金支付将与绩效评价结果关联，其中评价结果为优的，付至合同总价的%，评价结果为良好的，付至合同总价的%，评价结果为合格的，付至合同总价的%，评价结果为差的，付至合同总价的%。（90分以上为优秀，80分以上、不足90分的为良好，60分以上、不足80分的为合格，不足60分的为不合格）</w:t>
      </w:r>
    </w:p>
    <w:p w14:paraId="1547B01D">
      <w:pPr>
        <w:keepNext w:val="0"/>
        <w:keepLines w:val="0"/>
        <w:pageBreakBefore w:val="0"/>
        <w:wordWrap/>
        <w:overflowPunct/>
        <w:topLinePunct w:val="0"/>
        <w:bidi w:val="0"/>
        <w:spacing w:beforeAutospacing="0" w:afterAutospacing="0" w:line="324" w:lineRule="auto"/>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第</w:t>
      </w:r>
      <w:r>
        <w:rPr>
          <w:rFonts w:hint="eastAsia" w:ascii="宋体" w:hAnsi="宋体" w:eastAsia="宋体" w:cs="宋体"/>
          <w:b/>
          <w:color w:val="000000" w:themeColor="text1"/>
          <w:sz w:val="20"/>
          <w:szCs w:val="20"/>
          <w:highlight w:val="none"/>
          <w:lang w:val="en-US" w:eastAsia="zh-CN"/>
          <w14:textFill>
            <w14:solidFill>
              <w14:schemeClr w14:val="tx1"/>
            </w14:solidFill>
          </w14:textFill>
        </w:rPr>
        <w:t>五</w:t>
      </w:r>
      <w:r>
        <w:rPr>
          <w:rFonts w:hint="eastAsia" w:ascii="宋体" w:hAnsi="宋体" w:eastAsia="宋体" w:cs="宋体"/>
          <w:b/>
          <w:color w:val="000000" w:themeColor="text1"/>
          <w:sz w:val="20"/>
          <w:szCs w:val="20"/>
          <w:highlight w:val="none"/>
          <w14:textFill>
            <w14:solidFill>
              <w14:schemeClr w14:val="tx1"/>
            </w14:solidFill>
          </w14:textFill>
        </w:rPr>
        <w:t>条知识产权</w:t>
      </w:r>
    </w:p>
    <w:p w14:paraId="38AA37A9">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1、乙方应保证所提供的成果（或服务）其任何一部分均不会侵犯任何第三方的专利权、商标权或著作权。</w:t>
      </w:r>
    </w:p>
    <w:p w14:paraId="613311FE">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2、乙方保证</w:t>
      </w:r>
      <w:r>
        <w:rPr>
          <w:rFonts w:hint="eastAsia" w:ascii="宋体" w:hAnsi="宋体" w:eastAsia="宋体" w:cs="宋体"/>
          <w:color w:val="000000" w:themeColor="text1"/>
          <w:sz w:val="20"/>
          <w:szCs w:val="20"/>
          <w:highlight w:val="none"/>
          <w:lang w:eastAsia="zh-CN"/>
          <w14:textFill>
            <w14:solidFill>
              <w14:schemeClr w14:val="tx1"/>
            </w14:solidFill>
          </w14:textFill>
        </w:rPr>
        <w:t>其在</w:t>
      </w:r>
      <w:r>
        <w:rPr>
          <w:rFonts w:hint="eastAsia" w:ascii="宋体" w:hAnsi="宋体" w:eastAsia="宋体" w:cs="宋体"/>
          <w:color w:val="000000" w:themeColor="text1"/>
          <w:sz w:val="20"/>
          <w:szCs w:val="20"/>
          <w:highlight w:val="none"/>
          <w14:textFill>
            <w14:solidFill>
              <w14:schemeClr w14:val="tx1"/>
            </w14:solidFill>
          </w14:textFill>
        </w:rPr>
        <w:t>项目实施过程中不侵犯任何第三方的知识产权；如出现侵犯第三方知识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00F4C067">
      <w:pPr>
        <w:pStyle w:val="5"/>
        <w:keepNext w:val="0"/>
        <w:keepLines w:val="0"/>
        <w:pageBreakBefore w:val="0"/>
        <w:shd w:val="clear" w:color="auto" w:fill="FFFFFF"/>
        <w:wordWrap/>
        <w:overflowPunct/>
        <w:topLinePunct w:val="0"/>
        <w:bidi w:val="0"/>
        <w:spacing w:beforeAutospacing="0" w:afterAutospacing="0" w:line="324" w:lineRule="auto"/>
        <w:rPr>
          <w:rFonts w:hint="eastAsia" w:ascii="宋体" w:hAnsi="宋体" w:eastAsia="宋体" w:cs="宋体"/>
          <w:b/>
          <w:bCs/>
          <w:color w:val="000000" w:themeColor="text1"/>
          <w:sz w:val="20"/>
          <w:szCs w:val="20"/>
          <w:highlight w:val="none"/>
          <w14:textFill>
            <w14:solidFill>
              <w14:schemeClr w14:val="tx1"/>
            </w14:solidFill>
          </w14:textFill>
        </w:rPr>
      </w:pPr>
      <w:r>
        <w:rPr>
          <w:rFonts w:hint="eastAsia" w:ascii="宋体" w:hAnsi="宋体" w:eastAsia="宋体" w:cs="宋体"/>
          <w:b/>
          <w:bCs/>
          <w:color w:val="000000" w:themeColor="text1"/>
          <w:sz w:val="20"/>
          <w:szCs w:val="20"/>
          <w:highlight w:val="none"/>
          <w14:textFill>
            <w14:solidFill>
              <w14:schemeClr w14:val="tx1"/>
            </w14:solidFill>
          </w14:textFill>
        </w:rPr>
        <w:t>第</w:t>
      </w:r>
      <w:r>
        <w:rPr>
          <w:rFonts w:hint="eastAsia" w:ascii="宋体" w:hAnsi="宋体" w:eastAsia="宋体" w:cs="宋体"/>
          <w:b/>
          <w:bCs/>
          <w:color w:val="000000" w:themeColor="text1"/>
          <w:sz w:val="20"/>
          <w:szCs w:val="20"/>
          <w:highlight w:val="none"/>
          <w:lang w:val="en-US" w:eastAsia="zh-CN"/>
          <w14:textFill>
            <w14:solidFill>
              <w14:schemeClr w14:val="tx1"/>
            </w14:solidFill>
          </w14:textFill>
        </w:rPr>
        <w:t>六</w:t>
      </w:r>
      <w:r>
        <w:rPr>
          <w:rFonts w:hint="eastAsia" w:ascii="宋体" w:hAnsi="宋体" w:eastAsia="宋体" w:cs="宋体"/>
          <w:b/>
          <w:bCs/>
          <w:color w:val="000000" w:themeColor="text1"/>
          <w:sz w:val="20"/>
          <w:szCs w:val="20"/>
          <w:highlight w:val="none"/>
          <w14:textFill>
            <w14:solidFill>
              <w14:schemeClr w14:val="tx1"/>
            </w14:solidFill>
          </w14:textFill>
        </w:rPr>
        <w:t>条甲方的权利和义务</w:t>
      </w:r>
    </w:p>
    <w:p w14:paraId="4CDE5B10">
      <w:pPr>
        <w:pStyle w:val="5"/>
        <w:keepNext w:val="0"/>
        <w:keepLines w:val="0"/>
        <w:pageBreakBefore w:val="0"/>
        <w:shd w:val="clear" w:color="auto" w:fill="FFFFFF"/>
        <w:wordWrap/>
        <w:overflowPunct/>
        <w:topLinePunct w:val="0"/>
        <w:bidi w:val="0"/>
        <w:spacing w:beforeAutospacing="0" w:afterAutospacing="0" w:line="324" w:lineRule="auto"/>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w:t>
      </w:r>
      <w:r>
        <w:rPr>
          <w:rFonts w:hint="eastAsia" w:ascii="宋体" w:hAnsi="宋体" w:eastAsia="宋体" w:cs="宋体"/>
          <w:color w:val="000000" w:themeColor="text1"/>
          <w:sz w:val="20"/>
          <w:szCs w:val="20"/>
          <w:highlight w:val="none"/>
          <w:lang w:val="en-US" w:eastAsia="zh-CN"/>
          <w14:textFill>
            <w14:solidFill>
              <w14:schemeClr w14:val="tx1"/>
            </w14:solidFill>
          </w14:textFill>
        </w:rPr>
        <w:t>甲方</w:t>
      </w:r>
      <w:r>
        <w:rPr>
          <w:rFonts w:hint="eastAsia" w:ascii="宋体" w:hAnsi="宋体" w:eastAsia="宋体" w:cs="宋体"/>
          <w:color w:val="000000" w:themeColor="text1"/>
          <w:sz w:val="20"/>
          <w:szCs w:val="20"/>
          <w:highlight w:val="none"/>
          <w14:textFill>
            <w14:solidFill>
              <w14:schemeClr w14:val="tx1"/>
            </w14:solidFill>
          </w14:textFill>
        </w:rPr>
        <w:t>负责检查监督乙方管理工作的实施及制度的执行情况。</w:t>
      </w:r>
    </w:p>
    <w:p w14:paraId="1BF7B331">
      <w:pPr>
        <w:pStyle w:val="5"/>
        <w:keepNext w:val="0"/>
        <w:keepLines w:val="0"/>
        <w:pageBreakBefore w:val="0"/>
        <w:shd w:val="clear" w:color="auto" w:fill="FFFFFF"/>
        <w:wordWrap/>
        <w:overflowPunct/>
        <w:topLinePunct w:val="0"/>
        <w:bidi w:val="0"/>
        <w:spacing w:beforeAutospacing="0" w:afterAutospacing="0" w:line="324" w:lineRule="auto"/>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2</w:t>
      </w:r>
      <w:r>
        <w:rPr>
          <w:rFonts w:hint="eastAsia" w:ascii="宋体" w:hAnsi="宋体" w:eastAsia="宋体" w:cs="宋体"/>
          <w:color w:val="000000" w:themeColor="text1"/>
          <w:sz w:val="20"/>
          <w:szCs w:val="20"/>
          <w:highlight w:val="none"/>
          <w14:textFill>
            <w14:solidFill>
              <w14:schemeClr w14:val="tx1"/>
            </w14:solidFill>
          </w14:textFill>
        </w:rPr>
        <w:t>、甲方应</w:t>
      </w:r>
      <w:r>
        <w:rPr>
          <w:rFonts w:hint="eastAsia" w:ascii="宋体" w:hAnsi="宋体" w:eastAsia="宋体" w:cs="宋体"/>
          <w:color w:val="000000" w:themeColor="text1"/>
          <w:sz w:val="20"/>
          <w:szCs w:val="20"/>
          <w:highlight w:val="none"/>
          <w:lang w:val="en-US" w:eastAsia="zh-CN"/>
          <w14:textFill>
            <w14:solidFill>
              <w14:schemeClr w14:val="tx1"/>
            </w14:solidFill>
          </w14:textFill>
        </w:rPr>
        <w:t>在有效的时间内将与</w:t>
      </w:r>
      <w:r>
        <w:rPr>
          <w:rFonts w:hint="eastAsia" w:ascii="宋体" w:hAnsi="宋体" w:eastAsia="宋体" w:cs="宋体"/>
          <w:color w:val="000000" w:themeColor="text1"/>
          <w:sz w:val="20"/>
          <w:szCs w:val="20"/>
          <w:highlight w:val="none"/>
          <w14:textFill>
            <w14:solidFill>
              <w14:schemeClr w14:val="tx1"/>
            </w14:solidFill>
          </w14:textFill>
        </w:rPr>
        <w:t>本项目相关的数据和资料提供</w:t>
      </w:r>
      <w:r>
        <w:rPr>
          <w:rFonts w:hint="eastAsia" w:ascii="宋体" w:hAnsi="宋体" w:eastAsia="宋体" w:cs="宋体"/>
          <w:color w:val="000000" w:themeColor="text1"/>
          <w:sz w:val="20"/>
          <w:szCs w:val="20"/>
          <w:highlight w:val="none"/>
          <w:lang w:val="en-US" w:eastAsia="zh-CN"/>
          <w14:textFill>
            <w14:solidFill>
              <w14:schemeClr w14:val="tx1"/>
            </w14:solidFill>
          </w14:textFill>
        </w:rPr>
        <w:t>给</w:t>
      </w:r>
      <w:r>
        <w:rPr>
          <w:rFonts w:hint="eastAsia" w:ascii="宋体" w:hAnsi="宋体" w:eastAsia="宋体" w:cs="宋体"/>
          <w:color w:val="000000" w:themeColor="text1"/>
          <w:sz w:val="20"/>
          <w:szCs w:val="20"/>
          <w:highlight w:val="none"/>
          <w14:textFill>
            <w14:solidFill>
              <w14:schemeClr w14:val="tx1"/>
            </w14:solidFill>
          </w14:textFill>
        </w:rPr>
        <w:t>乙方</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lang w:val="en-US" w:eastAsia="zh-CN"/>
          <w14:textFill>
            <w14:solidFill>
              <w14:schemeClr w14:val="tx1"/>
            </w14:solidFill>
          </w14:textFill>
        </w:rPr>
        <w:t>乙方</w:t>
      </w:r>
      <w:r>
        <w:rPr>
          <w:rFonts w:hint="eastAsia" w:ascii="宋体" w:hAnsi="宋体" w:eastAsia="宋体" w:cs="宋体"/>
          <w:color w:val="000000" w:themeColor="text1"/>
          <w:sz w:val="20"/>
          <w:szCs w:val="20"/>
          <w:highlight w:val="none"/>
          <w14:textFill>
            <w14:solidFill>
              <w14:schemeClr w14:val="tx1"/>
            </w14:solidFill>
          </w14:textFill>
        </w:rPr>
        <w:t>收到甲方提供的数据和资料</w:t>
      </w:r>
      <w:r>
        <w:rPr>
          <w:rFonts w:hint="eastAsia" w:ascii="宋体" w:hAnsi="宋体" w:eastAsia="宋体" w:cs="宋体"/>
          <w:color w:val="000000" w:themeColor="text1"/>
          <w:sz w:val="20"/>
          <w:szCs w:val="20"/>
          <w:highlight w:val="none"/>
          <w:lang w:val="en-US" w:eastAsia="zh-CN"/>
          <w14:textFill>
            <w14:solidFill>
              <w14:schemeClr w14:val="tx1"/>
            </w14:solidFill>
          </w14:textFill>
        </w:rPr>
        <w:t>后</w:t>
      </w:r>
      <w:r>
        <w:rPr>
          <w:rFonts w:hint="eastAsia" w:ascii="宋体" w:hAnsi="宋体" w:eastAsia="宋体" w:cs="宋体"/>
          <w:color w:val="000000" w:themeColor="text1"/>
          <w:sz w:val="20"/>
          <w:szCs w:val="20"/>
          <w:highlight w:val="none"/>
          <w14:textFill>
            <w14:solidFill>
              <w14:schemeClr w14:val="tx1"/>
            </w14:solidFill>
          </w14:textFill>
        </w:rPr>
        <w:t>一次性告知甲方需要补充的材料。</w:t>
      </w:r>
    </w:p>
    <w:p w14:paraId="6C542C4C">
      <w:pPr>
        <w:pStyle w:val="5"/>
        <w:keepNext w:val="0"/>
        <w:keepLines w:val="0"/>
        <w:pageBreakBefore w:val="0"/>
        <w:shd w:val="clear" w:color="auto" w:fill="FFFFFF"/>
        <w:wordWrap/>
        <w:overflowPunct/>
        <w:topLinePunct w:val="0"/>
        <w:bidi w:val="0"/>
        <w:spacing w:beforeAutospacing="0" w:afterAutospacing="0" w:line="324" w:lineRule="auto"/>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3、甲方有权对乙方人员的工作情况及纪律作风监督检查，明确员工职责范围，对工作中不负责任、违反管理规定的人员，有权提出辞退要求，情况属实，乙方应无条件予以执行。</w:t>
      </w:r>
    </w:p>
    <w:p w14:paraId="4BE86F7B">
      <w:pPr>
        <w:pStyle w:val="5"/>
        <w:keepNext w:val="0"/>
        <w:keepLines w:val="0"/>
        <w:pageBreakBefore w:val="0"/>
        <w:shd w:val="clear" w:color="auto" w:fill="FFFFFF"/>
        <w:wordWrap/>
        <w:overflowPunct/>
        <w:topLinePunct w:val="0"/>
        <w:bidi w:val="0"/>
        <w:spacing w:beforeAutospacing="0" w:afterAutospacing="0" w:line="324" w:lineRule="auto"/>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4</w:t>
      </w:r>
      <w:r>
        <w:rPr>
          <w:rFonts w:hint="eastAsia" w:ascii="宋体" w:hAnsi="宋体" w:eastAsia="宋体" w:cs="宋体"/>
          <w:color w:val="000000" w:themeColor="text1"/>
          <w:sz w:val="20"/>
          <w:szCs w:val="20"/>
          <w:highlight w:val="none"/>
          <w14:textFill>
            <w14:solidFill>
              <w14:schemeClr w14:val="tx1"/>
            </w14:solidFill>
          </w14:textFill>
        </w:rPr>
        <w:t>、甲方不得要求乙方违反国家有关标准进行编制。</w:t>
      </w:r>
    </w:p>
    <w:p w14:paraId="1BC25F09">
      <w:pPr>
        <w:pStyle w:val="5"/>
        <w:keepNext w:val="0"/>
        <w:keepLines w:val="0"/>
        <w:pageBreakBefore w:val="0"/>
        <w:shd w:val="clear" w:color="auto" w:fill="FFFFFF"/>
        <w:wordWrap/>
        <w:overflowPunct/>
        <w:topLinePunct w:val="0"/>
        <w:bidi w:val="0"/>
        <w:spacing w:beforeAutospacing="0" w:afterAutospacing="0" w:line="324" w:lineRule="auto"/>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5</w:t>
      </w: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eastAsia="宋体" w:cs="宋体"/>
          <w:color w:val="000000" w:themeColor="text1"/>
          <w:sz w:val="20"/>
          <w:szCs w:val="20"/>
          <w:highlight w:val="none"/>
          <w:lang w:val="en-US" w:eastAsia="zh-CN"/>
          <w14:textFill>
            <w14:solidFill>
              <w14:schemeClr w14:val="tx1"/>
            </w14:solidFill>
          </w14:textFill>
        </w:rPr>
        <w:t>甲方应当</w:t>
      </w:r>
      <w:r>
        <w:rPr>
          <w:rFonts w:hint="eastAsia" w:ascii="宋体" w:hAnsi="宋体" w:eastAsia="宋体" w:cs="宋体"/>
          <w:color w:val="000000" w:themeColor="text1"/>
          <w:sz w:val="20"/>
          <w:szCs w:val="20"/>
          <w:highlight w:val="none"/>
          <w14:textFill>
            <w14:solidFill>
              <w14:schemeClr w14:val="tx1"/>
            </w14:solidFill>
          </w14:textFill>
        </w:rPr>
        <w:t>配合乙方的现场调研</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lang w:val="en-US" w:eastAsia="zh-CN"/>
          <w14:textFill>
            <w14:solidFill>
              <w14:schemeClr w14:val="tx1"/>
            </w14:solidFill>
          </w14:textFill>
        </w:rPr>
        <w:t>成果文件</w:t>
      </w:r>
      <w:r>
        <w:rPr>
          <w:rFonts w:hint="eastAsia" w:ascii="宋体" w:hAnsi="宋体" w:eastAsia="宋体" w:cs="宋体"/>
          <w:color w:val="000000" w:themeColor="text1"/>
          <w:sz w:val="20"/>
          <w:szCs w:val="20"/>
          <w:highlight w:val="none"/>
          <w14:textFill>
            <w14:solidFill>
              <w14:schemeClr w14:val="tx1"/>
            </w14:solidFill>
          </w14:textFill>
        </w:rPr>
        <w:t>呈报审查工作</w:t>
      </w:r>
      <w:r>
        <w:rPr>
          <w:rFonts w:hint="eastAsia" w:ascii="宋体" w:hAnsi="宋体" w:eastAsia="宋体" w:cs="宋体"/>
          <w:color w:val="000000" w:themeColor="text1"/>
          <w:sz w:val="20"/>
          <w:szCs w:val="20"/>
          <w:highlight w:val="none"/>
          <w:lang w:val="en-US" w:eastAsia="zh-CN"/>
          <w14:textFill>
            <w14:solidFill>
              <w14:schemeClr w14:val="tx1"/>
            </w14:solidFill>
          </w14:textFill>
        </w:rPr>
        <w:t>等相关工作</w:t>
      </w:r>
      <w:r>
        <w:rPr>
          <w:rFonts w:hint="eastAsia" w:ascii="宋体" w:hAnsi="宋体" w:eastAsia="宋体" w:cs="宋体"/>
          <w:color w:val="000000" w:themeColor="text1"/>
          <w:sz w:val="20"/>
          <w:szCs w:val="20"/>
          <w:highlight w:val="none"/>
          <w14:textFill>
            <w14:solidFill>
              <w14:schemeClr w14:val="tx1"/>
            </w14:solidFill>
          </w14:textFill>
        </w:rPr>
        <w:t>。</w:t>
      </w:r>
    </w:p>
    <w:p w14:paraId="63398558">
      <w:pPr>
        <w:pStyle w:val="5"/>
        <w:keepNext w:val="0"/>
        <w:keepLines w:val="0"/>
        <w:pageBreakBefore w:val="0"/>
        <w:shd w:val="clear" w:color="auto" w:fill="FFFFFF"/>
        <w:wordWrap/>
        <w:overflowPunct/>
        <w:topLinePunct w:val="0"/>
        <w:bidi w:val="0"/>
        <w:spacing w:beforeAutospacing="0" w:afterAutospacing="0" w:line="324" w:lineRule="auto"/>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6</w:t>
      </w:r>
      <w:r>
        <w:rPr>
          <w:rFonts w:hint="eastAsia" w:ascii="宋体" w:hAnsi="宋体" w:eastAsia="宋体" w:cs="宋体"/>
          <w:color w:val="000000" w:themeColor="text1"/>
          <w:sz w:val="20"/>
          <w:szCs w:val="20"/>
          <w:highlight w:val="none"/>
          <w14:textFill>
            <w14:solidFill>
              <w14:schemeClr w14:val="tx1"/>
            </w14:solidFill>
          </w14:textFill>
        </w:rPr>
        <w:t>、甲方对乙方可行性研究报告编制服务的进度享有知情权与监督权。</w:t>
      </w:r>
    </w:p>
    <w:p w14:paraId="656B702F">
      <w:pPr>
        <w:pStyle w:val="5"/>
        <w:keepNext w:val="0"/>
        <w:keepLines w:val="0"/>
        <w:pageBreakBefore w:val="0"/>
        <w:shd w:val="clear" w:color="auto" w:fill="FFFFFF"/>
        <w:wordWrap/>
        <w:overflowPunct/>
        <w:topLinePunct w:val="0"/>
        <w:bidi w:val="0"/>
        <w:spacing w:beforeAutospacing="0" w:afterAutospacing="0" w:line="324" w:lineRule="auto"/>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7</w:t>
      </w:r>
      <w:r>
        <w:rPr>
          <w:rFonts w:hint="eastAsia" w:ascii="宋体" w:hAnsi="宋体" w:eastAsia="宋体" w:cs="宋体"/>
          <w:color w:val="000000" w:themeColor="text1"/>
          <w:sz w:val="20"/>
          <w:szCs w:val="20"/>
          <w:highlight w:val="none"/>
          <w14:textFill>
            <w14:solidFill>
              <w14:schemeClr w14:val="tx1"/>
            </w14:solidFill>
          </w14:textFill>
        </w:rPr>
        <w:t>、国家法律、法规所规定由甲方承担的</w:t>
      </w:r>
      <w:r>
        <w:rPr>
          <w:rFonts w:hint="eastAsia" w:ascii="宋体" w:hAnsi="宋体" w:eastAsia="宋体" w:cs="宋体"/>
          <w:color w:val="000000" w:themeColor="text1"/>
          <w:sz w:val="20"/>
          <w:szCs w:val="20"/>
          <w:highlight w:val="none"/>
          <w:lang w:eastAsia="zh-CN"/>
          <w14:textFill>
            <w14:solidFill>
              <w14:schemeClr w14:val="tx1"/>
            </w14:solidFill>
          </w14:textFill>
        </w:rPr>
        <w:t>其他</w:t>
      </w:r>
      <w:r>
        <w:rPr>
          <w:rFonts w:hint="eastAsia" w:ascii="宋体" w:hAnsi="宋体" w:eastAsia="宋体" w:cs="宋体"/>
          <w:color w:val="000000" w:themeColor="text1"/>
          <w:sz w:val="20"/>
          <w:szCs w:val="20"/>
          <w:highlight w:val="none"/>
          <w14:textFill>
            <w14:solidFill>
              <w14:schemeClr w14:val="tx1"/>
            </w14:solidFill>
          </w14:textFill>
        </w:rPr>
        <w:t>责任。</w:t>
      </w:r>
    </w:p>
    <w:p w14:paraId="54A9C2B7">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4" w:lineRule="auto"/>
        <w:textAlignment w:val="auto"/>
        <w:rPr>
          <w:rFonts w:hint="eastAsia" w:ascii="宋体" w:hAnsi="宋体" w:eastAsia="宋体" w:cs="宋体"/>
          <w:b/>
          <w:bCs/>
          <w:color w:val="000000" w:themeColor="text1"/>
          <w:sz w:val="20"/>
          <w:szCs w:val="20"/>
          <w:highlight w:val="none"/>
          <w14:textFill>
            <w14:solidFill>
              <w14:schemeClr w14:val="tx1"/>
            </w14:solidFill>
          </w14:textFill>
        </w:rPr>
      </w:pPr>
      <w:r>
        <w:rPr>
          <w:rFonts w:hint="eastAsia" w:ascii="宋体" w:hAnsi="宋体" w:eastAsia="宋体" w:cs="宋体"/>
          <w:b/>
          <w:bCs/>
          <w:color w:val="000000" w:themeColor="text1"/>
          <w:sz w:val="20"/>
          <w:szCs w:val="20"/>
          <w:highlight w:val="none"/>
          <w14:textFill>
            <w14:solidFill>
              <w14:schemeClr w14:val="tx1"/>
            </w14:solidFill>
          </w14:textFill>
        </w:rPr>
        <w:t>第</w:t>
      </w:r>
      <w:r>
        <w:rPr>
          <w:rFonts w:hint="eastAsia" w:ascii="宋体" w:hAnsi="宋体" w:eastAsia="宋体" w:cs="宋体"/>
          <w:b/>
          <w:bCs/>
          <w:color w:val="000000" w:themeColor="text1"/>
          <w:sz w:val="20"/>
          <w:szCs w:val="20"/>
          <w:highlight w:val="none"/>
          <w:lang w:val="en-US" w:eastAsia="zh-CN"/>
          <w14:textFill>
            <w14:solidFill>
              <w14:schemeClr w14:val="tx1"/>
            </w14:solidFill>
          </w14:textFill>
        </w:rPr>
        <w:t>七</w:t>
      </w:r>
      <w:r>
        <w:rPr>
          <w:rFonts w:hint="eastAsia" w:ascii="宋体" w:hAnsi="宋体" w:eastAsia="宋体" w:cs="宋体"/>
          <w:b/>
          <w:bCs/>
          <w:color w:val="000000" w:themeColor="text1"/>
          <w:sz w:val="20"/>
          <w:szCs w:val="20"/>
          <w:highlight w:val="none"/>
          <w14:textFill>
            <w14:solidFill>
              <w14:schemeClr w14:val="tx1"/>
            </w14:solidFill>
          </w14:textFill>
        </w:rPr>
        <w:t>条乙方的权利和义务</w:t>
      </w:r>
    </w:p>
    <w:p w14:paraId="6C724AA9">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4" w:lineRule="auto"/>
        <w:ind w:firstLine="400" w:firstLineChars="20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1、按合同要求派出合格的服务人员，依据岗位职责结合甲方交予的任务执行服务工作；遵守甲方制定的各项规章制度，为甲方提供保障服务。</w:t>
      </w:r>
    </w:p>
    <w:p w14:paraId="78D77C4C">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4" w:lineRule="auto"/>
        <w:ind w:firstLine="400" w:firstLineChars="20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2</w:t>
      </w: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eastAsia="宋体" w:cs="宋体"/>
          <w:color w:val="000000" w:themeColor="text1"/>
          <w:sz w:val="20"/>
          <w:szCs w:val="20"/>
          <w:highlight w:val="none"/>
          <w:lang w:val="en-US" w:eastAsia="zh-CN"/>
          <w14:textFill>
            <w14:solidFill>
              <w14:schemeClr w14:val="tx1"/>
            </w14:solidFill>
          </w14:textFill>
        </w:rPr>
        <w:t>乙方</w:t>
      </w:r>
      <w:r>
        <w:rPr>
          <w:rFonts w:hint="eastAsia" w:ascii="宋体" w:hAnsi="宋体" w:eastAsia="宋体" w:cs="宋体"/>
          <w:color w:val="000000" w:themeColor="text1"/>
          <w:sz w:val="20"/>
          <w:szCs w:val="20"/>
          <w:highlight w:val="none"/>
          <w14:textFill>
            <w14:solidFill>
              <w14:schemeClr w14:val="tx1"/>
            </w14:solidFill>
          </w14:textFill>
        </w:rPr>
        <w:t>依据有关政策和实际情况，对项目进行综合研究、提出建议，按合同约定的内容、时间及份数向发包人交付编制成果，并对提交的编制成果的质量负责。</w:t>
      </w:r>
    </w:p>
    <w:p w14:paraId="5199B061">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4" w:lineRule="auto"/>
        <w:ind w:firstLine="400" w:firstLineChars="20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3</w:t>
      </w: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eastAsia="宋体" w:cs="宋体"/>
          <w:color w:val="000000" w:themeColor="text1"/>
          <w:sz w:val="20"/>
          <w:szCs w:val="20"/>
          <w:highlight w:val="none"/>
          <w:lang w:val="en-US" w:eastAsia="zh-CN"/>
          <w14:textFill>
            <w14:solidFill>
              <w14:schemeClr w14:val="tx1"/>
            </w14:solidFill>
          </w14:textFill>
        </w:rPr>
        <w:t>乙方在规定的时间内</w:t>
      </w:r>
      <w:r>
        <w:rPr>
          <w:rFonts w:hint="eastAsia" w:ascii="宋体" w:hAnsi="宋体" w:eastAsia="宋体" w:cs="宋体"/>
          <w:color w:val="000000" w:themeColor="text1"/>
          <w:sz w:val="20"/>
          <w:szCs w:val="20"/>
          <w:highlight w:val="none"/>
          <w14:textFill>
            <w14:solidFill>
              <w14:schemeClr w14:val="tx1"/>
            </w14:solidFill>
          </w14:textFill>
        </w:rPr>
        <w:t>出具的编制成果，应体现甲方要求，必须达到国家标准、行业标准及国家有关技术规范深度要求；乙方完成编制初稿后应按甲方提出的审查意见和修改意见无偿进行修改，直至获得甲方及有关主管部门审批通过。</w:t>
      </w:r>
    </w:p>
    <w:p w14:paraId="46AB2315">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4" w:lineRule="auto"/>
        <w:ind w:firstLine="400" w:firstLineChars="20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4</w:t>
      </w: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eastAsia="宋体" w:cs="宋体"/>
          <w:color w:val="000000" w:themeColor="text1"/>
          <w:sz w:val="20"/>
          <w:szCs w:val="20"/>
          <w:highlight w:val="none"/>
          <w:lang w:val="en-US" w:eastAsia="zh-CN"/>
          <w14:textFill>
            <w14:solidFill>
              <w14:schemeClr w14:val="tx1"/>
            </w14:solidFill>
          </w14:textFill>
        </w:rPr>
        <w:t>乙方</w:t>
      </w:r>
      <w:r>
        <w:rPr>
          <w:rFonts w:hint="eastAsia" w:ascii="宋体" w:hAnsi="宋体" w:eastAsia="宋体" w:cs="宋体"/>
          <w:color w:val="000000" w:themeColor="text1"/>
          <w:sz w:val="20"/>
          <w:szCs w:val="20"/>
          <w:highlight w:val="none"/>
          <w14:textFill>
            <w14:solidFill>
              <w14:schemeClr w14:val="tx1"/>
            </w14:solidFill>
          </w14:textFill>
        </w:rPr>
        <w:t>对编制成果出现的遗漏或错误负责无偿修改或补充。</w:t>
      </w:r>
    </w:p>
    <w:p w14:paraId="381B8F0A">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4" w:lineRule="auto"/>
        <w:ind w:firstLine="400" w:firstLineChars="20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5</w:t>
      </w: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eastAsia="宋体" w:cs="宋体"/>
          <w:color w:val="000000" w:themeColor="text1"/>
          <w:sz w:val="20"/>
          <w:szCs w:val="20"/>
          <w:highlight w:val="none"/>
          <w:lang w:val="en-US" w:eastAsia="zh-CN"/>
          <w14:textFill>
            <w14:solidFill>
              <w14:schemeClr w14:val="tx1"/>
            </w14:solidFill>
          </w14:textFill>
        </w:rPr>
        <w:t>乙方</w:t>
      </w:r>
      <w:r>
        <w:rPr>
          <w:rFonts w:hint="eastAsia" w:ascii="宋体" w:hAnsi="宋体" w:eastAsia="宋体" w:cs="宋体"/>
          <w:color w:val="000000" w:themeColor="text1"/>
          <w:sz w:val="20"/>
          <w:szCs w:val="20"/>
          <w:highlight w:val="none"/>
          <w14:textFill>
            <w14:solidFill>
              <w14:schemeClr w14:val="tx1"/>
            </w14:solidFill>
          </w14:textFill>
        </w:rPr>
        <w:t>交付编制成果后，按规定参加审查，并根据审查结论做必要的解释说明和调整补充，调整补充已包含在合同工作内容中，不再计付费用。</w:t>
      </w:r>
    </w:p>
    <w:p w14:paraId="57B6B34B">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4" w:lineRule="auto"/>
        <w:ind w:firstLine="400" w:firstLineChars="20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6</w:t>
      </w:r>
      <w:r>
        <w:rPr>
          <w:rFonts w:hint="eastAsia" w:ascii="宋体" w:hAnsi="宋体" w:eastAsia="宋体" w:cs="宋体"/>
          <w:color w:val="000000" w:themeColor="text1"/>
          <w:sz w:val="20"/>
          <w:szCs w:val="20"/>
          <w:highlight w:val="none"/>
          <w14:textFill>
            <w14:solidFill>
              <w14:schemeClr w14:val="tx1"/>
            </w14:solidFill>
          </w14:textFill>
        </w:rPr>
        <w:t>、乙方为本项目所完成的编制成果的所有权、知识产权归甲方。</w:t>
      </w:r>
    </w:p>
    <w:p w14:paraId="3990FDDC">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4" w:lineRule="auto"/>
        <w:ind w:firstLine="400" w:firstLineChars="20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7</w:t>
      </w:r>
      <w:r>
        <w:rPr>
          <w:rFonts w:hint="eastAsia" w:ascii="宋体" w:hAnsi="宋体" w:eastAsia="宋体" w:cs="宋体"/>
          <w:color w:val="000000" w:themeColor="text1"/>
          <w:sz w:val="20"/>
          <w:szCs w:val="20"/>
          <w:highlight w:val="none"/>
          <w14:textFill>
            <w14:solidFill>
              <w14:schemeClr w14:val="tx1"/>
            </w14:solidFill>
          </w14:textFill>
        </w:rPr>
        <w:t>、乙方人员因工作失职或疏忽直接造成损失，由乙方处理并承担相关责任。</w:t>
      </w:r>
    </w:p>
    <w:p w14:paraId="76596995">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4" w:lineRule="auto"/>
        <w:ind w:firstLine="400" w:firstLineChars="20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8</w:t>
      </w: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eastAsia="宋体" w:cs="宋体"/>
          <w:color w:val="000000" w:themeColor="text1"/>
          <w:sz w:val="20"/>
          <w:szCs w:val="20"/>
          <w:highlight w:val="none"/>
          <w:lang w:val="en-US" w:eastAsia="zh-CN"/>
          <w14:textFill>
            <w14:solidFill>
              <w14:schemeClr w14:val="tx1"/>
            </w14:solidFill>
          </w14:textFill>
        </w:rPr>
        <w:t>乙方应当</w:t>
      </w:r>
      <w:r>
        <w:rPr>
          <w:rFonts w:hint="eastAsia" w:ascii="宋体" w:hAnsi="宋体" w:eastAsia="宋体" w:cs="宋体"/>
          <w:color w:val="000000" w:themeColor="text1"/>
          <w:sz w:val="20"/>
          <w:szCs w:val="20"/>
          <w:highlight w:val="none"/>
          <w14:textFill>
            <w14:solidFill>
              <w14:schemeClr w14:val="tx1"/>
            </w14:solidFill>
          </w14:textFill>
        </w:rPr>
        <w:t>及时向甲方通告本项目服务范围内有关服务的重大事项，及时配合处理投诉。</w:t>
      </w:r>
    </w:p>
    <w:p w14:paraId="5F05BC41">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4" w:lineRule="auto"/>
        <w:ind w:firstLine="400" w:firstLineChars="20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9</w:t>
      </w: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eastAsia="宋体" w:cs="宋体"/>
          <w:color w:val="000000" w:themeColor="text1"/>
          <w:sz w:val="20"/>
          <w:szCs w:val="20"/>
          <w:highlight w:val="none"/>
          <w:lang w:val="en-US" w:eastAsia="zh-CN"/>
          <w14:textFill>
            <w14:solidFill>
              <w14:schemeClr w14:val="tx1"/>
            </w14:solidFill>
          </w14:textFill>
        </w:rPr>
        <w:t>乙方应自觉</w:t>
      </w:r>
      <w:r>
        <w:rPr>
          <w:rFonts w:hint="eastAsia" w:ascii="宋体" w:hAnsi="宋体" w:eastAsia="宋体" w:cs="宋体"/>
          <w:color w:val="000000" w:themeColor="text1"/>
          <w:sz w:val="20"/>
          <w:szCs w:val="20"/>
          <w:highlight w:val="none"/>
          <w14:textFill>
            <w14:solidFill>
              <w14:schemeClr w14:val="tx1"/>
            </w14:solidFill>
          </w14:textFill>
        </w:rPr>
        <w:t>接受项目行业管理部门及政府有关部门的指导，接受甲方的监督。</w:t>
      </w:r>
    </w:p>
    <w:p w14:paraId="092D3EA3">
      <w:pPr>
        <w:pStyle w:val="5"/>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4" w:lineRule="auto"/>
        <w:ind w:firstLine="400" w:firstLineChars="20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10</w:t>
      </w:r>
      <w:r>
        <w:rPr>
          <w:rFonts w:hint="eastAsia" w:ascii="宋体" w:hAnsi="宋体" w:eastAsia="宋体" w:cs="宋体"/>
          <w:color w:val="000000" w:themeColor="text1"/>
          <w:sz w:val="20"/>
          <w:szCs w:val="20"/>
          <w:highlight w:val="none"/>
          <w14:textFill>
            <w14:solidFill>
              <w14:schemeClr w14:val="tx1"/>
            </w14:solidFill>
          </w14:textFill>
        </w:rPr>
        <w:t>、国家法律、法规所规定由乙方承担的</w:t>
      </w:r>
      <w:r>
        <w:rPr>
          <w:rFonts w:hint="eastAsia" w:ascii="宋体" w:hAnsi="宋体" w:eastAsia="宋体" w:cs="宋体"/>
          <w:color w:val="000000" w:themeColor="text1"/>
          <w:sz w:val="20"/>
          <w:szCs w:val="20"/>
          <w:highlight w:val="none"/>
          <w:lang w:eastAsia="zh-CN"/>
          <w14:textFill>
            <w14:solidFill>
              <w14:schemeClr w14:val="tx1"/>
            </w14:solidFill>
          </w14:textFill>
        </w:rPr>
        <w:t>其他</w:t>
      </w:r>
      <w:r>
        <w:rPr>
          <w:rFonts w:hint="eastAsia" w:ascii="宋体" w:hAnsi="宋体" w:eastAsia="宋体" w:cs="宋体"/>
          <w:color w:val="000000" w:themeColor="text1"/>
          <w:sz w:val="20"/>
          <w:szCs w:val="20"/>
          <w:highlight w:val="none"/>
          <w14:textFill>
            <w14:solidFill>
              <w14:schemeClr w14:val="tx1"/>
            </w14:solidFill>
          </w14:textFill>
        </w:rPr>
        <w:t>责任。</w:t>
      </w:r>
    </w:p>
    <w:p w14:paraId="2513FC8E">
      <w:pPr>
        <w:keepNext w:val="0"/>
        <w:keepLines w:val="0"/>
        <w:pageBreakBefore w:val="0"/>
        <w:widowControl w:val="0"/>
        <w:kinsoku/>
        <w:wordWrap/>
        <w:overflowPunct/>
        <w:topLinePunct w:val="0"/>
        <w:autoSpaceDE/>
        <w:autoSpaceDN/>
        <w:bidi w:val="0"/>
        <w:adjustRightInd/>
        <w:snapToGrid/>
        <w:spacing w:beforeAutospacing="0" w:afterAutospacing="0" w:line="324" w:lineRule="auto"/>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b/>
          <w:bCs/>
          <w:color w:val="000000" w:themeColor="text1"/>
          <w:sz w:val="20"/>
          <w:szCs w:val="20"/>
          <w:highlight w:val="none"/>
          <w:shd w:val="clear" w:color="auto" w:fill="FFFFFF"/>
          <w14:textFill>
            <w14:solidFill>
              <w14:schemeClr w14:val="tx1"/>
            </w14:solidFill>
          </w14:textFill>
        </w:rPr>
        <w:t>第</w:t>
      </w:r>
      <w:r>
        <w:rPr>
          <w:rFonts w:hint="eastAsia" w:ascii="宋体" w:hAnsi="宋体" w:eastAsia="宋体" w:cs="宋体"/>
          <w:b/>
          <w:bCs/>
          <w:color w:val="000000" w:themeColor="text1"/>
          <w:sz w:val="20"/>
          <w:szCs w:val="20"/>
          <w:highlight w:val="none"/>
          <w:shd w:val="clear" w:color="auto" w:fill="FFFFFF"/>
          <w:lang w:val="en-US" w:eastAsia="zh-CN"/>
          <w14:textFill>
            <w14:solidFill>
              <w14:schemeClr w14:val="tx1"/>
            </w14:solidFill>
          </w14:textFill>
        </w:rPr>
        <w:t>八</w:t>
      </w:r>
      <w:r>
        <w:rPr>
          <w:rFonts w:hint="eastAsia" w:ascii="宋体" w:hAnsi="宋体" w:eastAsia="宋体" w:cs="宋体"/>
          <w:b/>
          <w:bCs/>
          <w:color w:val="000000" w:themeColor="text1"/>
          <w:sz w:val="20"/>
          <w:szCs w:val="20"/>
          <w:highlight w:val="none"/>
          <w:shd w:val="clear" w:color="auto" w:fill="FFFFFF"/>
          <w14:textFill>
            <w14:solidFill>
              <w14:schemeClr w14:val="tx1"/>
            </w14:solidFill>
          </w14:textFill>
        </w:rPr>
        <w:t>条考核（验收）标准和方法</w:t>
      </w:r>
    </w:p>
    <w:p w14:paraId="05BD14F5">
      <w:pPr>
        <w:pStyle w:val="2"/>
        <w:keepNext w:val="0"/>
        <w:keepLines w:val="0"/>
        <w:pageBreakBefore w:val="0"/>
        <w:widowControl w:val="0"/>
        <w:kinsoku/>
        <w:wordWrap/>
        <w:overflowPunct/>
        <w:topLinePunct w:val="0"/>
        <w:autoSpaceDE/>
        <w:autoSpaceDN/>
        <w:bidi w:val="0"/>
        <w:spacing w:beforeAutospacing="0" w:after="0" w:afterAutospacing="0" w:line="324" w:lineRule="auto"/>
        <w:ind w:firstLine="400" w:firstLineChars="200"/>
        <w:textAlignment w:val="auto"/>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现行的国家标准或国家行政部门颁布的法律法规、规章制度等，是项目验收的重要依据，</w:t>
      </w:r>
      <w:r>
        <w:rPr>
          <w:rFonts w:hint="eastAsia" w:ascii="宋体" w:hAnsi="宋体" w:eastAsia="宋体" w:cs="宋体"/>
          <w:color w:val="000000" w:themeColor="text1"/>
          <w:sz w:val="20"/>
          <w:szCs w:val="20"/>
          <w:highlight w:val="none"/>
          <w:lang w:val="en-US" w:eastAsia="zh-CN"/>
          <w14:textFill>
            <w14:solidFill>
              <w14:schemeClr w14:val="tx1"/>
            </w14:solidFill>
          </w14:textFill>
        </w:rPr>
        <w:t>甲方</w:t>
      </w:r>
      <w:r>
        <w:rPr>
          <w:rFonts w:hint="eastAsia" w:ascii="宋体" w:hAnsi="宋体" w:eastAsia="宋体" w:cs="宋体"/>
          <w:color w:val="000000" w:themeColor="text1"/>
          <w:sz w:val="20"/>
          <w:szCs w:val="20"/>
          <w:highlight w:val="none"/>
          <w14:textFill>
            <w14:solidFill>
              <w14:schemeClr w14:val="tx1"/>
            </w14:solidFill>
          </w14:textFill>
        </w:rPr>
        <w:t>单位根据有关规范、规定及项目要求对服务进行检查或考核，</w:t>
      </w:r>
      <w:r>
        <w:rPr>
          <w:rFonts w:hint="eastAsia" w:ascii="宋体" w:hAnsi="宋体" w:eastAsia="宋体" w:cs="宋体"/>
          <w:color w:val="000000" w:themeColor="text1"/>
          <w:sz w:val="20"/>
          <w:szCs w:val="20"/>
          <w:highlight w:val="none"/>
          <w:lang w:val="en-US" w:eastAsia="zh-CN"/>
          <w14:textFill>
            <w14:solidFill>
              <w14:schemeClr w14:val="tx1"/>
            </w14:solidFill>
          </w14:textFill>
        </w:rPr>
        <w:t>乙方</w:t>
      </w:r>
      <w:r>
        <w:rPr>
          <w:rFonts w:hint="eastAsia" w:ascii="宋体" w:hAnsi="宋体" w:eastAsia="宋体" w:cs="宋体"/>
          <w:color w:val="000000" w:themeColor="text1"/>
          <w:sz w:val="20"/>
          <w:szCs w:val="20"/>
          <w:highlight w:val="none"/>
          <w14:textFill>
            <w14:solidFill>
              <w14:schemeClr w14:val="tx1"/>
            </w14:solidFill>
          </w14:textFill>
        </w:rPr>
        <w:t>须接受</w:t>
      </w:r>
      <w:r>
        <w:rPr>
          <w:rFonts w:hint="eastAsia" w:ascii="宋体" w:hAnsi="宋体" w:eastAsia="宋体" w:cs="宋体"/>
          <w:color w:val="000000" w:themeColor="text1"/>
          <w:sz w:val="20"/>
          <w:szCs w:val="20"/>
          <w:highlight w:val="none"/>
          <w:lang w:val="en-US" w:eastAsia="zh-CN"/>
          <w14:textFill>
            <w14:solidFill>
              <w14:schemeClr w14:val="tx1"/>
            </w14:solidFill>
          </w14:textFill>
        </w:rPr>
        <w:t>甲方</w:t>
      </w:r>
      <w:r>
        <w:rPr>
          <w:rFonts w:hint="eastAsia" w:ascii="宋体" w:hAnsi="宋体" w:eastAsia="宋体" w:cs="宋体"/>
          <w:color w:val="000000" w:themeColor="text1"/>
          <w:sz w:val="20"/>
          <w:szCs w:val="20"/>
          <w:highlight w:val="none"/>
          <w14:textFill>
            <w14:solidFill>
              <w14:schemeClr w14:val="tx1"/>
            </w14:solidFill>
          </w14:textFill>
        </w:rPr>
        <w:t>的各类考核或检查；若验收不通过或服务质量不符合采购要求，</w:t>
      </w:r>
      <w:r>
        <w:rPr>
          <w:rFonts w:hint="eastAsia" w:ascii="宋体" w:hAnsi="宋体" w:eastAsia="宋体" w:cs="宋体"/>
          <w:color w:val="000000" w:themeColor="text1"/>
          <w:sz w:val="20"/>
          <w:szCs w:val="20"/>
          <w:highlight w:val="none"/>
          <w:lang w:val="en-US" w:eastAsia="zh-CN"/>
          <w14:textFill>
            <w14:solidFill>
              <w14:schemeClr w14:val="tx1"/>
            </w14:solidFill>
          </w14:textFill>
        </w:rPr>
        <w:t>乙方</w:t>
      </w:r>
      <w:r>
        <w:rPr>
          <w:rFonts w:hint="eastAsia" w:ascii="宋体" w:hAnsi="宋体" w:eastAsia="宋体" w:cs="宋体"/>
          <w:color w:val="000000" w:themeColor="text1"/>
          <w:sz w:val="20"/>
          <w:szCs w:val="20"/>
          <w:highlight w:val="none"/>
          <w14:textFill>
            <w14:solidFill>
              <w14:schemeClr w14:val="tx1"/>
            </w14:solidFill>
          </w14:textFill>
        </w:rPr>
        <w:t>应在一定期限以</w:t>
      </w:r>
      <w:r>
        <w:rPr>
          <w:rFonts w:hint="eastAsia" w:ascii="宋体" w:hAnsi="宋体" w:eastAsia="宋体" w:cs="宋体"/>
          <w:color w:val="000000" w:themeColor="text1"/>
          <w:sz w:val="20"/>
          <w:szCs w:val="20"/>
          <w:highlight w:val="none"/>
          <w:lang w:val="en-US" w:eastAsia="zh-CN"/>
          <w14:textFill>
            <w14:solidFill>
              <w14:schemeClr w14:val="tx1"/>
            </w14:solidFill>
          </w14:textFill>
        </w:rPr>
        <w:t>甲方</w:t>
      </w:r>
      <w:r>
        <w:rPr>
          <w:rFonts w:hint="eastAsia" w:ascii="宋体" w:hAnsi="宋体" w:eastAsia="宋体" w:cs="宋体"/>
          <w:color w:val="000000" w:themeColor="text1"/>
          <w:sz w:val="20"/>
          <w:szCs w:val="20"/>
          <w:highlight w:val="none"/>
          <w14:textFill>
            <w14:solidFill>
              <w14:schemeClr w14:val="tx1"/>
            </w14:solidFill>
          </w14:textFill>
        </w:rPr>
        <w:t>要求的标准进行整改或进一步完善，并再次进行考核或检查，若</w:t>
      </w:r>
      <w:r>
        <w:rPr>
          <w:rFonts w:hint="eastAsia" w:ascii="宋体" w:hAnsi="宋体" w:eastAsia="宋体" w:cs="宋体"/>
          <w:color w:val="000000" w:themeColor="text1"/>
          <w:sz w:val="20"/>
          <w:szCs w:val="20"/>
          <w:highlight w:val="none"/>
          <w:lang w:val="en-US" w:eastAsia="zh-CN"/>
          <w14:textFill>
            <w14:solidFill>
              <w14:schemeClr w14:val="tx1"/>
            </w14:solidFill>
          </w14:textFill>
        </w:rPr>
        <w:t>乙方</w:t>
      </w:r>
      <w:r>
        <w:rPr>
          <w:rFonts w:hint="eastAsia" w:ascii="宋体" w:hAnsi="宋体" w:eastAsia="宋体" w:cs="宋体"/>
          <w:color w:val="000000" w:themeColor="text1"/>
          <w:sz w:val="20"/>
          <w:szCs w:val="20"/>
          <w:highlight w:val="none"/>
          <w14:textFill>
            <w14:solidFill>
              <w14:schemeClr w14:val="tx1"/>
            </w14:solidFill>
          </w14:textFill>
        </w:rPr>
        <w:t>在接受检查整改后最终仍未按要求提供符合要求和服务，</w:t>
      </w:r>
      <w:r>
        <w:rPr>
          <w:rFonts w:hint="eastAsia" w:ascii="宋体" w:hAnsi="宋体" w:eastAsia="宋体" w:cs="宋体"/>
          <w:color w:val="000000" w:themeColor="text1"/>
          <w:sz w:val="20"/>
          <w:szCs w:val="20"/>
          <w:highlight w:val="none"/>
          <w:lang w:val="en-US" w:eastAsia="zh-CN"/>
          <w14:textFill>
            <w14:solidFill>
              <w14:schemeClr w14:val="tx1"/>
            </w14:solidFill>
          </w14:textFill>
        </w:rPr>
        <w:t>甲方</w:t>
      </w:r>
      <w:r>
        <w:rPr>
          <w:rFonts w:hint="eastAsia" w:ascii="宋体" w:hAnsi="宋体" w:eastAsia="宋体" w:cs="宋体"/>
          <w:color w:val="000000" w:themeColor="text1"/>
          <w:sz w:val="20"/>
          <w:szCs w:val="20"/>
          <w:highlight w:val="none"/>
          <w14:textFill>
            <w14:solidFill>
              <w14:schemeClr w14:val="tx1"/>
            </w14:solidFill>
          </w14:textFill>
        </w:rPr>
        <w:t>有权按违约予以撤项，由此产生的一切责任和费用均由</w:t>
      </w:r>
      <w:r>
        <w:rPr>
          <w:rFonts w:hint="eastAsia" w:ascii="宋体" w:hAnsi="宋体" w:eastAsia="宋体" w:cs="宋体"/>
          <w:color w:val="000000" w:themeColor="text1"/>
          <w:sz w:val="20"/>
          <w:szCs w:val="20"/>
          <w:highlight w:val="none"/>
          <w:lang w:val="en-US" w:eastAsia="zh-CN"/>
          <w14:textFill>
            <w14:solidFill>
              <w14:schemeClr w14:val="tx1"/>
            </w14:solidFill>
          </w14:textFill>
        </w:rPr>
        <w:t>乙方</w:t>
      </w:r>
      <w:r>
        <w:rPr>
          <w:rFonts w:hint="eastAsia" w:ascii="宋体" w:hAnsi="宋体" w:eastAsia="宋体" w:cs="宋体"/>
          <w:color w:val="000000" w:themeColor="text1"/>
          <w:sz w:val="20"/>
          <w:szCs w:val="20"/>
          <w:highlight w:val="none"/>
          <w14:textFill>
            <w14:solidFill>
              <w14:schemeClr w14:val="tx1"/>
            </w14:solidFill>
          </w14:textFill>
        </w:rPr>
        <w:t>承担</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lang w:val="en-US" w:eastAsia="zh-CN"/>
          <w14:textFill>
            <w14:solidFill>
              <w14:schemeClr w14:val="tx1"/>
            </w14:solidFill>
          </w14:textFill>
        </w:rPr>
        <w:t>具体程序如下：</w:t>
      </w:r>
    </w:p>
    <w:p w14:paraId="665DBDCC">
      <w:pPr>
        <w:keepNext w:val="0"/>
        <w:keepLines w:val="0"/>
        <w:pageBreakBefore w:val="0"/>
        <w:widowControl w:val="0"/>
        <w:kinsoku/>
        <w:wordWrap/>
        <w:overflowPunct/>
        <w:topLinePunct w:val="0"/>
        <w:autoSpaceDE/>
        <w:autoSpaceDN/>
        <w:bidi w:val="0"/>
        <w:spacing w:beforeAutospacing="0" w:afterAutospacing="0" w:line="324" w:lineRule="auto"/>
        <w:ind w:firstLine="400" w:firstLineChars="200"/>
        <w:textAlignment w:val="auto"/>
        <w:rPr>
          <w:rFonts w:hint="eastAsia" w:ascii="宋体" w:hAnsi="宋体" w:eastAsia="宋体" w:cs="宋体"/>
          <w:color w:val="000000" w:themeColor="text1"/>
          <w:sz w:val="20"/>
          <w:szCs w:val="20"/>
          <w:highlight w:val="none"/>
          <w:shd w:val="clear" w:color="auto" w:fill="FFFFFF"/>
          <w:lang w:eastAsia="zh-CN"/>
          <w14:textFill>
            <w14:solidFill>
              <w14:schemeClr w14:val="tx1"/>
            </w14:solidFill>
          </w14:textFill>
        </w:rPr>
      </w:pPr>
      <w:r>
        <w:rPr>
          <w:rFonts w:hint="eastAsia" w:ascii="宋体" w:hAnsi="宋体" w:eastAsia="宋体" w:cs="宋体"/>
          <w:color w:val="000000" w:themeColor="text1"/>
          <w:sz w:val="20"/>
          <w:szCs w:val="20"/>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0"/>
          <w:szCs w:val="20"/>
          <w:highlight w:val="none"/>
          <w:shd w:val="clear" w:color="auto" w:fill="FFFFFF"/>
          <w:lang w:val="en-US" w:eastAsia="zh-CN"/>
          <w14:textFill>
            <w14:solidFill>
              <w14:schemeClr w14:val="tx1"/>
            </w14:solidFill>
          </w14:textFill>
        </w:rPr>
        <w:t>1</w:t>
      </w:r>
      <w:r>
        <w:rPr>
          <w:rFonts w:hint="eastAsia" w:ascii="宋体" w:hAnsi="宋体" w:eastAsia="宋体" w:cs="宋体"/>
          <w:color w:val="000000" w:themeColor="text1"/>
          <w:sz w:val="20"/>
          <w:szCs w:val="20"/>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0"/>
          <w:szCs w:val="20"/>
          <w:highlight w:val="none"/>
          <w:shd w:val="clear" w:color="auto" w:fill="FFFFFF"/>
          <w14:textFill>
            <w14:solidFill>
              <w14:schemeClr w14:val="tx1"/>
            </w14:solidFill>
          </w14:textFill>
        </w:rPr>
        <w:t>若有验收程序，甲乙双方必须同时在场，乙方所提供的服务不符合合同内容规定的，甲方有权拒绝验收。乙方应及时按本合同内容规定和甲方要求免费进行整改，直至验收合格，视为乙方按本合同规定完成服务</w:t>
      </w:r>
      <w:r>
        <w:rPr>
          <w:rFonts w:hint="eastAsia" w:ascii="宋体" w:hAnsi="宋体" w:eastAsia="宋体" w:cs="宋体"/>
          <w:color w:val="000000" w:themeColor="text1"/>
          <w:sz w:val="20"/>
          <w:szCs w:val="20"/>
          <w:highlight w:val="none"/>
          <w:shd w:val="clear" w:color="auto" w:fill="FFFFFF"/>
          <w:lang w:eastAsia="zh-CN"/>
          <w14:textFill>
            <w14:solidFill>
              <w14:schemeClr w14:val="tx1"/>
            </w14:solidFill>
          </w14:textFill>
        </w:rPr>
        <w:t>。</w:t>
      </w:r>
    </w:p>
    <w:p w14:paraId="59E56E40">
      <w:pPr>
        <w:keepNext w:val="0"/>
        <w:keepLines w:val="0"/>
        <w:pageBreakBefore w:val="0"/>
        <w:widowControl w:val="0"/>
        <w:kinsoku/>
        <w:wordWrap/>
        <w:overflowPunct/>
        <w:topLinePunct w:val="0"/>
        <w:autoSpaceDE/>
        <w:autoSpaceDN/>
        <w:bidi w:val="0"/>
        <w:spacing w:beforeAutospacing="0" w:afterAutospacing="0" w:line="324" w:lineRule="auto"/>
        <w:ind w:firstLine="400" w:firstLineChars="200"/>
        <w:textAlignment w:val="auto"/>
        <w:rPr>
          <w:rFonts w:hint="eastAsia" w:ascii="宋体" w:hAnsi="宋体" w:eastAsia="宋体" w:cs="宋体"/>
          <w:b/>
          <w:bCs/>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0"/>
          <w:szCs w:val="20"/>
          <w:highlight w:val="none"/>
          <w:shd w:val="clear" w:color="auto" w:fill="FFFFFF"/>
          <w:lang w:val="en-US" w:eastAsia="zh-CN"/>
          <w14:textFill>
            <w14:solidFill>
              <w14:schemeClr w14:val="tx1"/>
            </w14:solidFill>
          </w14:textFill>
        </w:rPr>
        <w:t>2</w:t>
      </w:r>
      <w:r>
        <w:rPr>
          <w:rFonts w:hint="eastAsia" w:ascii="宋体" w:hAnsi="宋体" w:eastAsia="宋体" w:cs="宋体"/>
          <w:color w:val="000000" w:themeColor="text1"/>
          <w:sz w:val="20"/>
          <w:szCs w:val="20"/>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0"/>
          <w:szCs w:val="20"/>
          <w:highlight w:val="none"/>
          <w:shd w:val="clear" w:color="auto" w:fill="FFFFFF"/>
          <w14:textFill>
            <w14:solidFill>
              <w14:schemeClr w14:val="tx1"/>
            </w14:solidFill>
          </w14:textFill>
        </w:rPr>
        <w:t>在经过乙方两次限期整改后，服务仍达不到合同文件规定内容的，甲方有权拒收，并可以解除合同，由此引起甲方损失及赔偿责任由乙方承担</w:t>
      </w:r>
      <w:r>
        <w:rPr>
          <w:rFonts w:hint="eastAsia" w:ascii="宋体" w:hAnsi="宋体" w:eastAsia="宋体" w:cs="宋体"/>
          <w:color w:val="000000" w:themeColor="text1"/>
          <w:sz w:val="20"/>
          <w:szCs w:val="20"/>
          <w:highlight w:val="none"/>
          <w:shd w:val="clear" w:color="auto" w:fill="FFFFFF"/>
          <w:lang w:eastAsia="zh-CN"/>
          <w14:textFill>
            <w14:solidFill>
              <w14:schemeClr w14:val="tx1"/>
            </w14:solidFill>
          </w14:textFill>
        </w:rPr>
        <w:t>。</w:t>
      </w:r>
    </w:p>
    <w:p w14:paraId="460B77BF">
      <w:pPr>
        <w:pStyle w:val="5"/>
        <w:keepNext w:val="0"/>
        <w:keepLines w:val="0"/>
        <w:pageBreakBefore w:val="0"/>
        <w:shd w:val="clear" w:color="auto" w:fill="FFFFFF"/>
        <w:wordWrap/>
        <w:overflowPunct/>
        <w:topLinePunct w:val="0"/>
        <w:bidi w:val="0"/>
        <w:spacing w:beforeAutospacing="0" w:afterAutospacing="0" w:line="324" w:lineRule="auto"/>
        <w:rPr>
          <w:rFonts w:hint="eastAsia" w:ascii="宋体" w:hAnsi="宋体" w:eastAsia="宋体" w:cs="宋体"/>
          <w:b/>
          <w:bCs/>
          <w:color w:val="000000" w:themeColor="text1"/>
          <w:sz w:val="20"/>
          <w:szCs w:val="20"/>
          <w:highlight w:val="none"/>
          <w14:textFill>
            <w14:solidFill>
              <w14:schemeClr w14:val="tx1"/>
            </w14:solidFill>
          </w14:textFill>
        </w:rPr>
      </w:pPr>
      <w:r>
        <w:rPr>
          <w:rFonts w:hint="eastAsia" w:ascii="宋体" w:hAnsi="宋体" w:eastAsia="宋体" w:cs="宋体"/>
          <w:b/>
          <w:bCs/>
          <w:color w:val="000000" w:themeColor="text1"/>
          <w:sz w:val="20"/>
          <w:szCs w:val="20"/>
          <w:highlight w:val="none"/>
          <w14:textFill>
            <w14:solidFill>
              <w14:schemeClr w14:val="tx1"/>
            </w14:solidFill>
          </w14:textFill>
        </w:rPr>
        <w:t>第</w:t>
      </w:r>
      <w:r>
        <w:rPr>
          <w:rFonts w:hint="eastAsia" w:ascii="宋体" w:hAnsi="宋体" w:eastAsia="宋体" w:cs="宋体"/>
          <w:b/>
          <w:bCs/>
          <w:color w:val="000000" w:themeColor="text1"/>
          <w:sz w:val="20"/>
          <w:szCs w:val="20"/>
          <w:highlight w:val="none"/>
          <w:lang w:val="en-US" w:eastAsia="zh-CN"/>
          <w14:textFill>
            <w14:solidFill>
              <w14:schemeClr w14:val="tx1"/>
            </w14:solidFill>
          </w14:textFill>
        </w:rPr>
        <w:t>九</w:t>
      </w:r>
      <w:r>
        <w:rPr>
          <w:rFonts w:hint="eastAsia" w:ascii="宋体" w:hAnsi="宋体" w:eastAsia="宋体" w:cs="宋体"/>
          <w:b/>
          <w:bCs/>
          <w:color w:val="000000" w:themeColor="text1"/>
          <w:sz w:val="20"/>
          <w:szCs w:val="20"/>
          <w:highlight w:val="none"/>
          <w14:textFill>
            <w14:solidFill>
              <w14:schemeClr w14:val="tx1"/>
            </w14:solidFill>
          </w14:textFill>
        </w:rPr>
        <w:t>条违约责任</w:t>
      </w:r>
    </w:p>
    <w:p w14:paraId="799BAB34">
      <w:pPr>
        <w:keepNext w:val="0"/>
        <w:keepLines w:val="0"/>
        <w:pageBreakBefore w:val="0"/>
        <w:wordWrap/>
        <w:overflowPunct/>
        <w:topLinePunct w:val="0"/>
        <w:bidi w:val="0"/>
        <w:spacing w:beforeAutospacing="0" w:afterAutospacing="0" w:line="324" w:lineRule="auto"/>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1、合同违约情况按《中华人民共和国民法典》中的相关条款执行。</w:t>
      </w:r>
    </w:p>
    <w:p w14:paraId="240B3C76">
      <w:pPr>
        <w:keepNext w:val="0"/>
        <w:keepLines w:val="0"/>
        <w:pageBreakBefore w:val="0"/>
        <w:wordWrap/>
        <w:overflowPunct/>
        <w:topLinePunct w:val="0"/>
        <w:bidi w:val="0"/>
        <w:spacing w:beforeAutospacing="0" w:afterAutospacing="0" w:line="324" w:lineRule="auto"/>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2、甲乙双方必须遵守本合同并执行合同中的各项规定，保证本合同的正常履行。</w:t>
      </w:r>
    </w:p>
    <w:p w14:paraId="70F1CA8F">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3</w:t>
      </w:r>
      <w:r>
        <w:rPr>
          <w:rFonts w:hint="eastAsia" w:ascii="宋体" w:hAnsi="宋体" w:eastAsia="宋体" w:cs="宋体"/>
          <w:color w:val="000000" w:themeColor="text1"/>
          <w:sz w:val="20"/>
          <w:szCs w:val="20"/>
          <w:highlight w:val="none"/>
          <w14:textFill>
            <w14:solidFill>
              <w14:schemeClr w14:val="tx1"/>
            </w14:solidFill>
          </w14:textFill>
        </w:rPr>
        <w:t>、因甲方原因，未按合同约定时间支付相应阶段款项，每逾期一天，按应付款的</w:t>
      </w:r>
      <w:r>
        <w:rPr>
          <w:rFonts w:hint="eastAsia" w:ascii="宋体" w:hAnsi="宋体" w:eastAsia="宋体" w:cs="宋体"/>
          <w:color w:val="000000" w:themeColor="text1"/>
          <w:sz w:val="20"/>
          <w:szCs w:val="20"/>
          <w:highlight w:val="none"/>
          <w:u w:val="none"/>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支付违约金。</w:t>
      </w:r>
    </w:p>
    <w:p w14:paraId="5AB022F7">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4</w:t>
      </w:r>
      <w:r>
        <w:rPr>
          <w:rFonts w:hint="eastAsia" w:ascii="宋体" w:hAnsi="宋体" w:eastAsia="宋体" w:cs="宋体"/>
          <w:color w:val="000000" w:themeColor="text1"/>
          <w:sz w:val="20"/>
          <w:szCs w:val="20"/>
          <w:highlight w:val="none"/>
          <w14:textFill>
            <w14:solidFill>
              <w14:schemeClr w14:val="tx1"/>
            </w14:solidFill>
          </w14:textFill>
        </w:rPr>
        <w:t>、因乙方原因，乙方逾期提交可行性研究报告的，每逾期一天，应向甲方支付合同总价款</w:t>
      </w:r>
      <w:r>
        <w:rPr>
          <w:rFonts w:hint="eastAsia" w:ascii="宋体" w:hAnsi="宋体" w:eastAsia="宋体" w:cs="宋体"/>
          <w:color w:val="000000" w:themeColor="text1"/>
          <w:sz w:val="20"/>
          <w:szCs w:val="20"/>
          <w:highlight w:val="none"/>
          <w:u w:val="none"/>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的违约金；迟延达到日，甲方有权单方解除本合同，乙方应返还甲方已支付的所有款项。</w:t>
      </w:r>
    </w:p>
    <w:p w14:paraId="24253A50">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5</w:t>
      </w:r>
      <w:r>
        <w:rPr>
          <w:rFonts w:hint="eastAsia" w:ascii="宋体" w:hAnsi="宋体" w:eastAsia="宋体" w:cs="宋体"/>
          <w:color w:val="000000" w:themeColor="text1"/>
          <w:sz w:val="20"/>
          <w:szCs w:val="20"/>
          <w:highlight w:val="none"/>
          <w14:textFill>
            <w14:solidFill>
              <w14:schemeClr w14:val="tx1"/>
            </w14:solidFill>
          </w14:textFill>
        </w:rPr>
        <w:t>、乙方提交的可行性研究报告不符合同约定标准，乙方应无偿修改至甲方确认为止。</w:t>
      </w:r>
    </w:p>
    <w:p w14:paraId="4E27D85A">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6</w:t>
      </w:r>
      <w:r>
        <w:rPr>
          <w:rFonts w:hint="eastAsia" w:ascii="宋体" w:hAnsi="宋体" w:eastAsia="宋体" w:cs="宋体"/>
          <w:color w:val="000000" w:themeColor="text1"/>
          <w:sz w:val="20"/>
          <w:szCs w:val="20"/>
          <w:highlight w:val="none"/>
          <w14:textFill>
            <w14:solidFill>
              <w14:schemeClr w14:val="tx1"/>
            </w14:solidFill>
          </w14:textFill>
        </w:rPr>
        <w:t>、由于乙方错误造成质量事故损失的，乙方除负责采取补救措施外，应免收直接受损失部分的编制费。损失严重的，应根据损失的程度和乙方责任大小向甲方支付赔偿金。</w:t>
      </w:r>
    </w:p>
    <w:p w14:paraId="23D7A4D5">
      <w:pPr>
        <w:keepNext w:val="0"/>
        <w:keepLines w:val="0"/>
        <w:pageBreakBefore w:val="0"/>
        <w:wordWrap/>
        <w:overflowPunct/>
        <w:topLinePunct w:val="0"/>
        <w:bidi w:val="0"/>
        <w:spacing w:beforeAutospacing="0" w:afterAutospacing="0" w:line="324" w:lineRule="auto"/>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7</w:t>
      </w:r>
      <w:r>
        <w:rPr>
          <w:rFonts w:hint="eastAsia" w:ascii="宋体" w:hAnsi="宋体" w:eastAsia="宋体" w:cs="宋体"/>
          <w:color w:val="000000" w:themeColor="text1"/>
          <w:sz w:val="20"/>
          <w:szCs w:val="20"/>
          <w:highlight w:val="none"/>
          <w14:textFill>
            <w14:solidFill>
              <w14:schemeClr w14:val="tx1"/>
            </w14:solidFill>
          </w14:textFill>
        </w:rPr>
        <w:t>、如因乙方工作人员在履行职务过程中</w:t>
      </w:r>
      <w:r>
        <w:rPr>
          <w:rFonts w:hint="eastAsia" w:ascii="宋体" w:hAnsi="宋体" w:eastAsia="宋体" w:cs="宋体"/>
          <w:color w:val="000000" w:themeColor="text1"/>
          <w:sz w:val="20"/>
          <w:szCs w:val="20"/>
          <w:highlight w:val="none"/>
          <w:lang w:eastAsia="zh-CN"/>
          <w14:textFill>
            <w14:solidFill>
              <w14:schemeClr w14:val="tx1"/>
            </w14:solidFill>
          </w14:textFill>
        </w:rPr>
        <w:t>的</w:t>
      </w:r>
      <w:r>
        <w:rPr>
          <w:rFonts w:hint="eastAsia" w:ascii="宋体" w:hAnsi="宋体" w:eastAsia="宋体" w:cs="宋体"/>
          <w:color w:val="000000" w:themeColor="text1"/>
          <w:sz w:val="20"/>
          <w:szCs w:val="20"/>
          <w:highlight w:val="none"/>
          <w14:textFill>
            <w14:solidFill>
              <w14:schemeClr w14:val="tx1"/>
            </w14:solidFill>
          </w14:textFill>
        </w:rPr>
        <w:t>疏忽、失职、过错等故意或者过失原因给甲方造成损失或侵害，包括但不限于甲方本身的财产损失、由此而导致的甲方对任何第三方的法律责任等，乙方对此均应承担全部的赔偿责任。</w:t>
      </w:r>
    </w:p>
    <w:p w14:paraId="1605297B">
      <w:pPr>
        <w:keepNext w:val="0"/>
        <w:keepLines w:val="0"/>
        <w:pageBreakBefore w:val="0"/>
        <w:wordWrap/>
        <w:overflowPunct/>
        <w:topLinePunct w:val="0"/>
        <w:bidi w:val="0"/>
        <w:spacing w:beforeAutospacing="0" w:afterAutospacing="0" w:line="324" w:lineRule="auto"/>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8</w:t>
      </w:r>
      <w:r>
        <w:rPr>
          <w:rFonts w:hint="eastAsia" w:ascii="宋体" w:hAnsi="宋体" w:eastAsia="宋体" w:cs="宋体"/>
          <w:color w:val="000000" w:themeColor="text1"/>
          <w:sz w:val="20"/>
          <w:szCs w:val="20"/>
          <w:highlight w:val="none"/>
          <w14:textFill>
            <w14:solidFill>
              <w14:schemeClr w14:val="tx1"/>
            </w14:solidFill>
          </w14:textFill>
        </w:rPr>
        <w:t>、未按合同要求提供服务或质量不能满足技术要求，甲方有权终止合同并对乙方违约行为进行追究，同时按政府采购法的有关规定进行相应的处罚。</w:t>
      </w:r>
    </w:p>
    <w:p w14:paraId="553A6B2D">
      <w:pPr>
        <w:keepNext w:val="0"/>
        <w:keepLines w:val="0"/>
        <w:pageBreakBefore w:val="0"/>
        <w:wordWrap/>
        <w:overflowPunct/>
        <w:topLinePunct w:val="0"/>
        <w:bidi w:val="0"/>
        <w:spacing w:beforeAutospacing="0" w:afterAutospacing="0" w:line="324" w:lineRule="auto"/>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第十条合同的变更和终止</w:t>
      </w:r>
    </w:p>
    <w:p w14:paraId="269FC427">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除《中华人民共和国政府采购法》第49条、第50条第二款规定的情形外，本合同一经签订，甲乙双方不得擅自变更、中止或终止合同。</w:t>
      </w:r>
    </w:p>
    <w:p w14:paraId="539B5C3F">
      <w:pPr>
        <w:keepNext w:val="0"/>
        <w:keepLines w:val="0"/>
        <w:pageBreakBefore w:val="0"/>
        <w:wordWrap/>
        <w:overflowPunct/>
        <w:topLinePunct w:val="0"/>
        <w:bidi w:val="0"/>
        <w:spacing w:beforeAutospacing="0" w:afterAutospacing="0" w:line="324" w:lineRule="auto"/>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第十</w:t>
      </w:r>
      <w:r>
        <w:rPr>
          <w:rFonts w:hint="eastAsia" w:ascii="宋体" w:hAnsi="宋体" w:eastAsia="宋体" w:cs="宋体"/>
          <w:b/>
          <w:color w:val="000000" w:themeColor="text1"/>
          <w:sz w:val="20"/>
          <w:szCs w:val="20"/>
          <w:highlight w:val="none"/>
          <w:lang w:val="en-US" w:eastAsia="zh-CN"/>
          <w14:textFill>
            <w14:solidFill>
              <w14:schemeClr w14:val="tx1"/>
            </w14:solidFill>
          </w14:textFill>
        </w:rPr>
        <w:t>一</w:t>
      </w:r>
      <w:r>
        <w:rPr>
          <w:rFonts w:hint="eastAsia" w:ascii="宋体" w:hAnsi="宋体" w:eastAsia="宋体" w:cs="宋体"/>
          <w:b/>
          <w:color w:val="000000" w:themeColor="text1"/>
          <w:sz w:val="20"/>
          <w:szCs w:val="20"/>
          <w:highlight w:val="none"/>
          <w14:textFill>
            <w14:solidFill>
              <w14:schemeClr w14:val="tx1"/>
            </w14:solidFill>
          </w14:textFill>
        </w:rPr>
        <w:t>条解决合同纠纷的方式</w:t>
      </w:r>
    </w:p>
    <w:p w14:paraId="77B27989">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合同一经签订，不得随意变更、中止或终止；对确需变更、调整或者中止、终止合同的，应按规定履行相应的手续；在执行本合同中发生的或与本合同有关的争端，双方应通过友好协商解决，经协商不能达成协议时，则采取以下第</w:t>
      </w:r>
      <w:r>
        <w:rPr>
          <w:rFonts w:hint="eastAsia" w:ascii="宋体" w:hAnsi="宋体" w:eastAsia="宋体" w:cs="宋体"/>
          <w:color w:val="000000" w:themeColor="text1"/>
          <w:sz w:val="20"/>
          <w:szCs w:val="20"/>
          <w:highlight w:val="none"/>
          <w:u w:val="single"/>
          <w:lang w:eastAsia="zh-CN"/>
          <w14:textFill>
            <w14:solidFill>
              <w14:schemeClr w14:val="tx1"/>
            </w14:solidFill>
          </w14:textFill>
        </w:rPr>
        <w:t>（</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1</w:t>
      </w:r>
      <w:r>
        <w:rPr>
          <w:rFonts w:hint="eastAsia" w:ascii="宋体" w:hAnsi="宋体" w:eastAsia="宋体" w:cs="宋体"/>
          <w:color w:val="000000" w:themeColor="text1"/>
          <w:sz w:val="20"/>
          <w:szCs w:val="20"/>
          <w:highlight w:val="none"/>
          <w:u w:val="singl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种方式解决争议：</w:t>
      </w:r>
    </w:p>
    <w:p w14:paraId="4E4B1226">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（1）向甲方所在地有管辖权的人民法院提起诉讼；</w:t>
      </w:r>
    </w:p>
    <w:p w14:paraId="1951BB71">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（2）向西安仲裁委员会按其仲裁规则申请仲裁。</w:t>
      </w:r>
    </w:p>
    <w:p w14:paraId="06C40919">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2、在仲裁期间，除双方有争议的部分外，本合同其他部分仍然有效，各方应继续履行。</w:t>
      </w:r>
    </w:p>
    <w:p w14:paraId="0FEA76AC">
      <w:pPr>
        <w:keepNext w:val="0"/>
        <w:keepLines w:val="0"/>
        <w:pageBreakBefore w:val="0"/>
        <w:wordWrap/>
        <w:overflowPunct/>
        <w:topLinePunct w:val="0"/>
        <w:bidi w:val="0"/>
        <w:spacing w:beforeAutospacing="0" w:afterAutospacing="0" w:line="324" w:lineRule="auto"/>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第十</w:t>
      </w:r>
      <w:r>
        <w:rPr>
          <w:rFonts w:hint="eastAsia" w:ascii="宋体" w:hAnsi="宋体" w:eastAsia="宋体" w:cs="宋体"/>
          <w:b/>
          <w:color w:val="000000" w:themeColor="text1"/>
          <w:sz w:val="20"/>
          <w:szCs w:val="20"/>
          <w:highlight w:val="none"/>
          <w:lang w:val="en-US" w:eastAsia="zh-CN"/>
          <w14:textFill>
            <w14:solidFill>
              <w14:schemeClr w14:val="tx1"/>
            </w14:solidFill>
          </w14:textFill>
        </w:rPr>
        <w:t>二</w:t>
      </w:r>
      <w:r>
        <w:rPr>
          <w:rFonts w:hint="eastAsia" w:ascii="宋体" w:hAnsi="宋体" w:eastAsia="宋体" w:cs="宋体"/>
          <w:b/>
          <w:color w:val="000000" w:themeColor="text1"/>
          <w:sz w:val="20"/>
          <w:szCs w:val="20"/>
          <w:highlight w:val="none"/>
          <w14:textFill>
            <w14:solidFill>
              <w14:schemeClr w14:val="tx1"/>
            </w14:solidFill>
          </w14:textFill>
        </w:rPr>
        <w:t>条附件</w:t>
      </w:r>
    </w:p>
    <w:p w14:paraId="2DA15623">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1、采购文件</w:t>
      </w:r>
    </w:p>
    <w:p w14:paraId="7FFE8451">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2、修改澄清文件</w:t>
      </w:r>
    </w:p>
    <w:p w14:paraId="2A32C146">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3、响应文件</w:t>
      </w:r>
    </w:p>
    <w:p w14:paraId="244F60DE">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4、成交通知书</w:t>
      </w:r>
    </w:p>
    <w:p w14:paraId="3B115EA3">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5、其他</w:t>
      </w:r>
    </w:p>
    <w:p w14:paraId="0356D955">
      <w:pPr>
        <w:keepNext w:val="0"/>
        <w:keepLines w:val="0"/>
        <w:pageBreakBefore w:val="0"/>
        <w:wordWrap/>
        <w:overflowPunct/>
        <w:topLinePunct w:val="0"/>
        <w:bidi w:val="0"/>
        <w:spacing w:beforeAutospacing="0" w:afterAutospacing="0" w:line="324" w:lineRule="auto"/>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第十</w:t>
      </w:r>
      <w:r>
        <w:rPr>
          <w:rFonts w:hint="eastAsia" w:ascii="宋体" w:hAnsi="宋体" w:eastAsia="宋体" w:cs="宋体"/>
          <w:b/>
          <w:color w:val="000000" w:themeColor="text1"/>
          <w:sz w:val="20"/>
          <w:szCs w:val="20"/>
          <w:highlight w:val="none"/>
          <w:lang w:val="en-US" w:eastAsia="zh-CN"/>
          <w14:textFill>
            <w14:solidFill>
              <w14:schemeClr w14:val="tx1"/>
            </w14:solidFill>
          </w14:textFill>
        </w:rPr>
        <w:t>三</w:t>
      </w:r>
      <w:r>
        <w:rPr>
          <w:rFonts w:hint="eastAsia" w:ascii="宋体" w:hAnsi="宋体" w:eastAsia="宋体" w:cs="宋体"/>
          <w:b/>
          <w:color w:val="000000" w:themeColor="text1"/>
          <w:sz w:val="20"/>
          <w:szCs w:val="20"/>
          <w:highlight w:val="none"/>
          <w14:textFill>
            <w14:solidFill>
              <w14:schemeClr w14:val="tx1"/>
            </w14:solidFill>
          </w14:textFill>
        </w:rPr>
        <w:t>条合同生效及其他</w:t>
      </w:r>
    </w:p>
    <w:p w14:paraId="65DA70A7">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1、合同经双方法定代表人或授权委托代理人签字并加盖单位公章后生效。</w:t>
      </w:r>
    </w:p>
    <w:p w14:paraId="63C634E8">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2、合同执行中涉及采购资金和采购内容修改或补充的，须经政府采购监管部门审批，并</w:t>
      </w:r>
      <w:r>
        <w:rPr>
          <w:rFonts w:hint="eastAsia" w:ascii="宋体" w:hAnsi="宋体" w:eastAsia="宋体" w:cs="宋体"/>
          <w:color w:val="000000" w:themeColor="text1"/>
          <w:sz w:val="20"/>
          <w:szCs w:val="20"/>
          <w:highlight w:val="none"/>
          <w:lang w:eastAsia="zh-CN"/>
          <w14:textFill>
            <w14:solidFill>
              <w14:schemeClr w14:val="tx1"/>
            </w14:solidFill>
          </w14:textFill>
        </w:rPr>
        <w:t>签订</w:t>
      </w:r>
      <w:r>
        <w:rPr>
          <w:rFonts w:hint="eastAsia" w:ascii="宋体" w:hAnsi="宋体" w:eastAsia="宋体" w:cs="宋体"/>
          <w:color w:val="000000" w:themeColor="text1"/>
          <w:sz w:val="20"/>
          <w:szCs w:val="20"/>
          <w:highlight w:val="none"/>
          <w14:textFill>
            <w14:solidFill>
              <w14:schemeClr w14:val="tx1"/>
            </w14:solidFill>
          </w14:textFill>
        </w:rPr>
        <w:t>书面补充协议报政府采购监督管理部门备案，方可作为主合同不可分割的一部分。</w:t>
      </w:r>
    </w:p>
    <w:p w14:paraId="6DEDF396">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3、本合同一式份，自双方签章之日起</w:t>
      </w:r>
      <w:r>
        <w:rPr>
          <w:rFonts w:hint="eastAsia" w:ascii="宋体" w:hAnsi="宋体" w:eastAsia="宋体" w:cs="宋体"/>
          <w:color w:val="000000" w:themeColor="text1"/>
          <w:sz w:val="20"/>
          <w:szCs w:val="20"/>
          <w:highlight w:val="none"/>
          <w:lang w:eastAsia="zh-CN"/>
          <w14:textFill>
            <w14:solidFill>
              <w14:schemeClr w14:val="tx1"/>
            </w14:solidFill>
          </w14:textFill>
        </w:rPr>
        <w:t>生效</w:t>
      </w:r>
      <w:r>
        <w:rPr>
          <w:rFonts w:hint="eastAsia" w:ascii="宋体" w:hAnsi="宋体" w:eastAsia="宋体" w:cs="宋体"/>
          <w:color w:val="000000" w:themeColor="text1"/>
          <w:sz w:val="20"/>
          <w:szCs w:val="20"/>
          <w:highlight w:val="none"/>
          <w14:textFill>
            <w14:solidFill>
              <w14:schemeClr w14:val="tx1"/>
            </w14:solidFill>
          </w14:textFill>
        </w:rPr>
        <w:t>。甲方份，乙方份，政府采购代理机构壹份，同级财政部门备案壹份，具有同等法律效力。</w:t>
      </w:r>
    </w:p>
    <w:p w14:paraId="2CD59A6D">
      <w:pPr>
        <w:keepNext w:val="0"/>
        <w:keepLines w:val="0"/>
        <w:pageBreakBefore w:val="0"/>
        <w:wordWrap/>
        <w:overflowPunct/>
        <w:topLinePunct w:val="0"/>
        <w:bidi w:val="0"/>
        <w:spacing w:beforeAutospacing="0" w:afterAutospacing="0" w:line="324" w:lineRule="auto"/>
        <w:ind w:firstLine="422"/>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（以下无正文为合同签署页）</w:t>
      </w:r>
    </w:p>
    <w:p w14:paraId="07A22236">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甲方（盖章）：                          乙方（盖章）：                   </w:t>
      </w:r>
    </w:p>
    <w:p w14:paraId="4B970458">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法定代表人/授权代理人                  法定代表人/授权代理人             </w:t>
      </w:r>
    </w:p>
    <w:p w14:paraId="7A584100">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（签字或盖章）：                       （签字或盖章）：          </w:t>
      </w:r>
    </w:p>
    <w:p w14:paraId="1AE569C3">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地址：                                  地址：                        </w:t>
      </w:r>
    </w:p>
    <w:p w14:paraId="1E30088E">
      <w:pPr>
        <w:keepNext w:val="0"/>
        <w:keepLines w:val="0"/>
        <w:pageBreakBefore w:val="0"/>
        <w:wordWrap/>
        <w:overflowPunct/>
        <w:topLinePunct w:val="0"/>
        <w:bidi w:val="0"/>
        <w:spacing w:beforeAutospacing="0" w:afterAutospacing="0" w:line="324"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电话：                                  电话：                    </w:t>
      </w:r>
    </w:p>
    <w:p w14:paraId="0A5A99AF">
      <w:pPr>
        <w:pStyle w:val="4"/>
        <w:keepNext w:val="0"/>
        <w:keepLines w:val="0"/>
        <w:pageBreakBefore w:val="0"/>
        <w:wordWrap/>
        <w:overflowPunct/>
        <w:topLinePunct w:val="0"/>
        <w:bidi w:val="0"/>
        <w:adjustRightInd w:val="0"/>
        <w:snapToGrid w:val="0"/>
        <w:spacing w:beforeAutospacing="0" w:afterAutospacing="0" w:line="324"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账户名称：                              账户名称：</w:t>
      </w:r>
    </w:p>
    <w:p w14:paraId="2977FB7B">
      <w:pPr>
        <w:pStyle w:val="4"/>
        <w:keepNext w:val="0"/>
        <w:keepLines w:val="0"/>
        <w:pageBreakBefore w:val="0"/>
        <w:wordWrap/>
        <w:overflowPunct/>
        <w:topLinePunct w:val="0"/>
        <w:bidi w:val="0"/>
        <w:adjustRightInd w:val="0"/>
        <w:snapToGrid w:val="0"/>
        <w:spacing w:beforeAutospacing="0" w:afterAutospacing="0" w:line="324"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账户号码：                              账户号码：</w:t>
      </w:r>
    </w:p>
    <w:p w14:paraId="55D59B7D">
      <w:pPr>
        <w:pStyle w:val="4"/>
        <w:keepNext w:val="0"/>
        <w:keepLines w:val="0"/>
        <w:pageBreakBefore w:val="0"/>
        <w:wordWrap/>
        <w:overflowPunct/>
        <w:topLinePunct w:val="0"/>
        <w:bidi w:val="0"/>
        <w:adjustRightInd w:val="0"/>
        <w:snapToGrid w:val="0"/>
        <w:spacing w:beforeAutospacing="0" w:afterAutospacing="0" w:line="324"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开户银行：                              开户银行：</w:t>
      </w:r>
    </w:p>
    <w:p w14:paraId="5F147F73">
      <w:pPr>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签约时间：                              签约时间： </w:t>
      </w:r>
    </w:p>
    <w:bookmarkEnd w:id="1"/>
    <w:sectPr>
      <w:pgSz w:w="11906" w:h="16838"/>
      <w:pgMar w:top="1219" w:right="1672" w:bottom="1219" w:left="1672"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38343E"/>
    <w:rsid w:val="4B3834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Times New Roman" w:hAnsi="Times New Roman"/>
      <w:szCs w:val="24"/>
    </w:rPr>
  </w:style>
  <w:style w:type="paragraph" w:styleId="3">
    <w:name w:val="Normal Indent"/>
    <w:basedOn w:val="1"/>
    <w:qFormat/>
    <w:uiPriority w:val="0"/>
    <w:pPr>
      <w:ind w:firstLine="420"/>
    </w:pPr>
    <w:rPr>
      <w:rFonts w:ascii="Times New Roman" w:hAnsi="Times New Roman"/>
      <w:szCs w:val="20"/>
    </w:rPr>
  </w:style>
  <w:style w:type="paragraph" w:styleId="4">
    <w:name w:val="Plain Text"/>
    <w:basedOn w:val="1"/>
    <w:qFormat/>
    <w:uiPriority w:val="0"/>
    <w:rPr>
      <w:rFonts w:ascii="宋体" w:hAnsi="Courier New" w:cs="Courier New"/>
      <w:szCs w:val="21"/>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table" w:customStyle="1" w:styleId="9">
    <w:name w:val="Table Normal"/>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0">
    <w:name w:val="Table Text"/>
    <w:basedOn w:val="1"/>
    <w:qFormat/>
    <w:uiPriority w:val="0"/>
    <w:pPr>
      <w:kinsoku w:val="0"/>
      <w:autoSpaceDE w:val="0"/>
      <w:autoSpaceDN w:val="0"/>
      <w:adjustRightInd w:val="0"/>
      <w:snapToGrid w:val="0"/>
      <w:spacing w:before="240" w:line="329" w:lineRule="auto"/>
      <w:ind w:left="96" w:right="100" w:firstLine="200" w:firstLineChars="100"/>
      <w:jc w:val="center"/>
      <w:textAlignment w:val="baseline"/>
    </w:pPr>
    <w:rPr>
      <w:rFonts w:ascii="Times New Roman" w:hAnsi="Times New Roman"/>
      <w:snapToGrid w:val="0"/>
      <w:color w:val="FF0000"/>
      <w:kern w:val="0"/>
      <w:sz w:val="2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2025-11-26T11:07:00Z</dcterms:created>
  <dc:creator>杜航</dc:creator>
  <cp:lastModifiedBy>杜航</cp:lastModifiedBy>
  <dcterms:modified xsi:type="dcterms:W3CDTF">2025-11-26T11:08:38Z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5830404D593640D59C35B87499F77981_11</vt:lpwstr>
  </property>
  <property fmtid="{D5CDD505-2E9C-101B-9397-08002B2CF9AE}" pid="4" name="KSOTemplateDocerSaveRecord">
    <vt:lpwstr>eyJoZGlkIjoiNGVjNGI1ZWQxMDUyODY5ZDAxOTAyNjljNjE1NWUwNGQiLCJ1c2VySWQiOiIzMDgwODY2MDYifQ==</vt:lpwstr>
  </property>
</Properties>
</file>