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版本号：SXLX25-01-103Z(F)20251126001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雁塔区2026年庭院供热管道老化更新改造项目可行性研究报告编制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SXLX25-01-103Z(F)</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雁塔区2026年庭院供热管道老化更新改造项目可行性研究报告编制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SXLX25-01-103Z(F)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雁塔区2026年庭院供热管道老化更新改造项目可行性研究报告编制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雁塔区约31个小区的庭院供热管道更新改造进行可行性研究报告编制；配合并促进采购人完成2026年雁塔区庭院供热管道老化更新改造目标；各项服务符合国家、省、市（行业）强制性标准及采购人要求的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1、供应商特殊资格要求：供应商单位须通过全国投资项目在线审批监管平台(http://www.tzxm.gov.cn)的工程咨询机构备案（专业含市政公用工程）</w:t>
      </w:r>
    </w:p>
    <w:p>
      <w:pPr>
        <w:pStyle w:val="null3"/>
      </w:pPr>
      <w:r>
        <w:rPr>
          <w:rFonts w:ascii="仿宋_GB2312" w:hAnsi="仿宋_GB2312" w:cs="仿宋_GB2312" w:eastAsia="仿宋_GB2312"/>
        </w:rPr>
        <w:t>2、拟派项目负责人特殊资格要求：拟派项目负责人须具备咨询工程师（投资）市政专业执业资格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杨兆龙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029-83693221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关于进一步放开建设项目专项业务服务价格的通知》（发改价格〔2015〕299号）规定的标准按柒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的责任范围，对雁塔区约31个小区的庭院供热管道更新改造进行可行性研究报告编制；配合并促进采购人完成2026年雁塔区庭院供热管道老化更新改造目标；各项服务符合国家、省、市（行业）强制性标准及采购人要求的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321,900.00</w:t>
      </w:r>
    </w:p>
    <w:p>
      <w:pPr>
        <w:pStyle w:val="null3"/>
      </w:pPr>
      <w:r>
        <w:rPr>
          <w:rFonts w:ascii="仿宋_GB2312" w:hAnsi="仿宋_GB2312" w:cs="仿宋_GB2312" w:eastAsia="仿宋_GB2312"/>
        </w:rPr>
        <w:t>采购包最高限价（元）: 321,900.00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雁塔区2026年庭院供热管道老化更新改造项目可行性研究报告编制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321,900.00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标的名称：雁塔区2026年庭院供热管道老化更新改造项目可行性研究报告编制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color w:val="000000"/>
              </w:rPr>
              <w:t>1.1建设规模及范围：</w:t>
            </w:r>
            <w:r>
              <w:rPr>
                <w:rFonts w:ascii="仿宋_GB2312" w:hAnsi="仿宋_GB2312" w:cs="仿宋_GB2312" w:eastAsia="仿宋_GB2312"/>
                <w:sz w:val="22"/>
                <w:color w:val="000000"/>
              </w:rPr>
              <w:t>本项目建设规模为</w:t>
            </w:r>
            <w:r>
              <w:rPr>
                <w:rFonts w:ascii="仿宋_GB2312" w:hAnsi="仿宋_GB2312" w:cs="仿宋_GB2312" w:eastAsia="仿宋_GB2312"/>
                <w:sz w:val="22"/>
                <w:color w:val="000000"/>
              </w:rPr>
              <w:t>31个小区热力管道实施老化更新改造。包括庭院的庭院内热力管道(约91.332公里)供热一次管网、二次管网、楼栋立管(约92.887公里)、配套设施设备、阀门、仪器仪表、管材管件及检查井等附属设施的改造和更换。</w:t>
            </w:r>
          </w:p>
          <w:p>
            <w:pPr>
              <w:pStyle w:val="null3"/>
              <w:jc w:val="both"/>
            </w:pPr>
            <w:r>
              <w:rPr>
                <w:rFonts w:ascii="仿宋_GB2312" w:hAnsi="仿宋_GB2312" w:cs="仿宋_GB2312" w:eastAsia="仿宋_GB2312"/>
                <w:sz w:val="22"/>
                <w:b/>
                <w:color w:val="000000"/>
              </w:rPr>
              <w:t>1.2服务内容(包含但不限于)：</w:t>
            </w:r>
            <w:r>
              <w:rPr>
                <w:rFonts w:ascii="仿宋_GB2312" w:hAnsi="仿宋_GB2312" w:cs="仿宋_GB2312" w:eastAsia="仿宋_GB2312"/>
                <w:sz w:val="22"/>
                <w:color w:val="000000"/>
              </w:rPr>
              <w:t>（</w:t>
            </w:r>
            <w:r>
              <w:rPr>
                <w:rFonts w:ascii="仿宋_GB2312" w:hAnsi="仿宋_GB2312" w:cs="仿宋_GB2312" w:eastAsia="仿宋_GB2312"/>
                <w:sz w:val="22"/>
                <w:color w:val="000000"/>
              </w:rPr>
              <w:t>1）编制可行性研究报告。</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2）根据项目实际情况提出合理化建议。</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3）项目成果资料的汇编整理及项目过程资料(变更、签证等)收集整理。</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4）项目其他有关咨询的服务。</w:t>
            </w:r>
          </w:p>
          <w:p>
            <w:pPr>
              <w:pStyle w:val="null3"/>
              <w:jc w:val="both"/>
            </w:pPr>
            <w:r>
              <w:rPr>
                <w:rFonts w:ascii="仿宋_GB2312" w:hAnsi="仿宋_GB2312" w:cs="仿宋_GB2312" w:eastAsia="仿宋_GB2312"/>
                <w:sz w:val="22"/>
                <w:b/>
                <w:color w:val="000000"/>
              </w:rPr>
              <w:t>1.3技术要求：</w:t>
            </w:r>
            <w:r>
              <w:rPr>
                <w:rFonts w:ascii="仿宋_GB2312" w:hAnsi="仿宋_GB2312" w:cs="仿宋_GB2312" w:eastAsia="仿宋_GB2312"/>
                <w:sz w:val="22"/>
                <w:color w:val="000000"/>
              </w:rPr>
              <w:t>具备开展供热管道工程可行性研究报告编制的技术力量和经验，采取科学、严谨、针对性强的执行方案，按照国家法律法规的有关规定及操作规程做好项目的实施计划、组织协调、难点、重点把握、质量控制等全方面工作，符合国家有关工程建设标准强制性条文和建设部门关于供热管道工程可行性研究报告编制现行的标准、规范、规程、定额、办法、示例以及采购人要求</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b/>
                <w:color w:val="000000"/>
              </w:rPr>
              <w:t>1.4</w:t>
            </w:r>
            <w:r>
              <w:rPr>
                <w:rFonts w:ascii="仿宋_GB2312" w:hAnsi="仿宋_GB2312" w:cs="仿宋_GB2312" w:eastAsia="仿宋_GB2312"/>
                <w:sz w:val="22"/>
                <w:b/>
                <w:color w:val="000000"/>
              </w:rPr>
              <w:t>进度要求：</w:t>
            </w:r>
            <w:r>
              <w:rPr>
                <w:rFonts w:ascii="仿宋_GB2312" w:hAnsi="仿宋_GB2312" w:cs="仿宋_GB2312" w:eastAsia="仿宋_GB2312"/>
                <w:sz w:val="22"/>
                <w:color w:val="000000"/>
              </w:rPr>
              <w:t>通过采取组织、技术、经济</w:t>
            </w:r>
            <w:r>
              <w:rPr>
                <w:rFonts w:ascii="仿宋_GB2312" w:hAnsi="仿宋_GB2312" w:cs="仿宋_GB2312" w:eastAsia="仿宋_GB2312"/>
                <w:sz w:val="22"/>
                <w:color w:val="000000"/>
              </w:rPr>
              <w:t>等</w:t>
            </w:r>
            <w:r>
              <w:rPr>
                <w:rFonts w:ascii="仿宋_GB2312" w:hAnsi="仿宋_GB2312" w:cs="仿宋_GB2312" w:eastAsia="仿宋_GB2312"/>
                <w:sz w:val="22"/>
                <w:color w:val="000000"/>
              </w:rPr>
              <w:t>控制措施将项目实施进度控制在采购人所要求的合理时间节点内。</w:t>
            </w:r>
          </w:p>
          <w:p>
            <w:pPr>
              <w:pStyle w:val="null3"/>
              <w:jc w:val="left"/>
            </w:pPr>
            <w:r>
              <w:rPr>
                <w:rFonts w:ascii="仿宋_GB2312" w:hAnsi="仿宋_GB2312" w:cs="仿宋_GB2312" w:eastAsia="仿宋_GB2312"/>
                <w:sz w:val="22"/>
                <w:b/>
                <w:color w:val="000000"/>
              </w:rPr>
              <w:t>1.5服务</w:t>
            </w:r>
            <w:r>
              <w:rPr>
                <w:rFonts w:ascii="仿宋_GB2312" w:hAnsi="仿宋_GB2312" w:cs="仿宋_GB2312" w:eastAsia="仿宋_GB2312"/>
                <w:sz w:val="22"/>
                <w:b/>
                <w:color w:val="000000"/>
              </w:rPr>
              <w:t>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1）服务方须指派专属人员与采购人联系服务事宜，服务响应时间应根据采购人实际安排随时调整。</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2）服务方需根据服务实际情况编制服务方案、管理方案、服务计划、</w:t>
            </w:r>
            <w:r>
              <w:rPr>
                <w:rFonts w:ascii="仿宋_GB2312" w:hAnsi="仿宋_GB2312" w:cs="仿宋_GB2312" w:eastAsia="仿宋_GB2312"/>
                <w:sz w:val="22"/>
                <w:color w:val="000000"/>
              </w:rPr>
              <w:t>重点难点分析</w:t>
            </w:r>
            <w:r>
              <w:rPr>
                <w:rFonts w:ascii="仿宋_GB2312" w:hAnsi="仿宋_GB2312" w:cs="仿宋_GB2312" w:eastAsia="仿宋_GB2312"/>
                <w:sz w:val="22"/>
                <w:color w:val="000000"/>
              </w:rPr>
              <w:t>、</w:t>
            </w:r>
            <w:r>
              <w:rPr>
                <w:rFonts w:ascii="仿宋_GB2312" w:hAnsi="仿宋_GB2312" w:cs="仿宋_GB2312" w:eastAsia="仿宋_GB2312"/>
                <w:sz w:val="22"/>
                <w:color w:val="000000"/>
              </w:rPr>
              <w:t>质量控制</w:t>
            </w:r>
            <w:r>
              <w:rPr>
                <w:rFonts w:ascii="仿宋_GB2312" w:hAnsi="仿宋_GB2312" w:cs="仿宋_GB2312" w:eastAsia="仿宋_GB2312"/>
                <w:sz w:val="22"/>
                <w:color w:val="000000"/>
              </w:rPr>
              <w:t>等方案措施。</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响应文件中指定的服务队伍。</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4）服务过程中，严格遵守各种管理规定及规章制度，做到奉公守法、诚实守信、廉洁自律、安全文明；服务过程中如发生工伤及意外事故由服务单位负责。</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5）服务方拟投入的服务人员对于在工作中获悉的一切政府工作的信息应严格保守秘密，不得泄露；对于违反者，给采购人单位造成不良社会影响的，或给采购人单位造成损失的，由服务方承担赔偿责任。</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6）严格按照国家、陕西省、西安市有关规定及采购人要求进行服务，不得随意更改或者变换服务内容，每项服务内容实施前应事先取得采购人的落实后方可实施</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7）配合促进采购人安排的其他相关工作。</w:t>
            </w:r>
          </w:p>
          <w:p>
            <w:pPr>
              <w:pStyle w:val="null3"/>
              <w:ind w:right="-195" w:firstLine="440"/>
              <w:jc w:val="both"/>
            </w:pPr>
            <w:r>
              <w:rPr>
                <w:rFonts w:ascii="仿宋_GB2312" w:hAnsi="仿宋_GB2312" w:cs="仿宋_GB2312" w:eastAsia="仿宋_GB2312"/>
                <w:sz w:val="22"/>
                <w:b/>
                <w:color w:val="000000"/>
              </w:rPr>
              <w:t>1.6成果要求：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1）成果内容应完整真实、科学严谨、思路清晰、具有代表性，综合考虑庭院供热管道更新改造的功能和潜力，提出更新实施详细规划和可行性优化方案，符合新形势、新变化、新发展下庭院供热管道的现状。</w:t>
            </w:r>
          </w:p>
          <w:p>
            <w:pPr>
              <w:pStyle w:val="null3"/>
              <w:ind w:right="-195"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2）成果文件初稿完成后应按采购人提出的审查意见和修改意见进行修改，直至获得有关主管部门审批通过，本项目所完成的编制成果的所有权、知识产权归采购人。</w:t>
            </w:r>
          </w:p>
          <w:p>
            <w:pPr>
              <w:pStyle w:val="null3"/>
              <w:ind w:right="-195"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3）所有提供资料包括：①纸质成果采用A4幅面双面印刷装订，一式三份；②电子成果为与纸质成果相对应的电子文档（pdf格式），以U盘形式提供2份</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1.7服务标准：</w:t>
            </w:r>
            <w:r>
              <w:rPr>
                <w:rFonts w:ascii="仿宋_GB2312" w:hAnsi="仿宋_GB2312" w:cs="仿宋_GB2312" w:eastAsia="仿宋_GB2312"/>
                <w:sz w:val="22"/>
                <w:color w:val="000000"/>
              </w:rPr>
              <w:t>（</w:t>
            </w:r>
            <w:r>
              <w:rPr>
                <w:rFonts w:ascii="仿宋_GB2312" w:hAnsi="仿宋_GB2312" w:cs="仿宋_GB2312" w:eastAsia="仿宋_GB2312"/>
                <w:sz w:val="22"/>
                <w:color w:val="000000"/>
              </w:rPr>
              <w:t>1）各项服务符合国家、省、市（行业）强制性标准及采购人要求的合格标准。</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服务、产品（如有）执行的标准、规范：必须执行国家、行业强制性标准；没有国家、行业强制性标准的按</w:t>
            </w:r>
            <w:r>
              <w:rPr>
                <w:rFonts w:ascii="仿宋_GB2312" w:hAnsi="仿宋_GB2312" w:cs="仿宋_GB2312" w:eastAsia="仿宋_GB2312"/>
                <w:sz w:val="22"/>
                <w:color w:val="000000"/>
              </w:rPr>
              <w:t>①国家标准、规范→②行业标准、规范→③地方标准、规范→④团体标准、规范→⑤企业标准、规范类推顺序执行；凡涉及的相关规范，国家有最新标准的以最新标准为准，所有标准哪个标准高执行哪个标准。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服务方按项目服务要求及特性，自行组织实施与管理，建立以负责人为核心的项目团队，相关人员经过严格培训，具有相关工作经验，能够胜任项目工作，保证项目顺利实施。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本项目标的所属行业为： 其他未列明行业 （从业人员300人以下的为中小微型企业。其中，从业人员100人及以上的为中型企业；从业人员10人及以上的为小型企业；从业人员10人以下的为微型企业）。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成果文件提交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成果文件获得有关主管部门审查批复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它相关的一切费用，包括但不限于：编制费、人工费、设备使用费、资料费、管理费、验收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授权分公司或分支机构参与磋商，可以使用总公司的资质或业绩。总公司单独参与磋商时，可以使用分公司的业绩，在相关资质证书的管理要求和适用范围内可以使用分公司资质。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本项目资格审查小组由1名采购人代表和2名采购代理机构工作人员组成；资格审查小组依法对供应商的资格进行审查。③控股管理关系及重大违法记录等以响应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提供供应商2023或2024年度经审计的财务会计报告或其在响应文件提交截止时间前3个月内其基本户银行出具的资信证明（附基本户存款账户信息）。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在项目电子化交易系统中按要求填写《响应函》完成承诺并进行电子签章（具体以响应截止日现场查询结果为准）。</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供应商单位须通过全国投资项目在线审批监管平台(http://www.tzxm.gov.cn)的工程咨询机构备案（专业含市政公用工程）</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拟派项目负责人特殊资格要求</w:t>
            </w:r>
          </w:p>
        </w:tc>
        <w:tc>
          <w:tcPr>
            <w:tcW w:type="dxa" w:w="3322"/>
          </w:tcPr>
          <w:p>
            <w:pPr>
              <w:pStyle w:val="null3"/>
            </w:pPr>
            <w:r>
              <w:rPr>
                <w:rFonts w:ascii="仿宋_GB2312" w:hAnsi="仿宋_GB2312" w:cs="仿宋_GB2312" w:eastAsia="仿宋_GB2312"/>
              </w:rPr>
              <w:t>拟派项目负责人须具备咨询工程师（投资）市政专业执业资格</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响应文件内容齐全、无遗漏，符合采购文件中的实质性条款要求，且未含有采购人不能接受的附加条件。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服务期限、服务地点、质量标准</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商务、技术文件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根据对项目理解情况的①编制范围、②编制要求、③编制依据、④工作目标的响应程度。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根据对实施方案的①实施思路、②工作计划、③工作方法、④进度保障、⑤成果审核的响应程度。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根据对管理制度的①管理制度、②职责及分工、③工作规范的响应程度。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根据对服务质量的①管理方案、②保障措施、③整改完善及验收方案的响应程度。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廉洁、保密和合理化建议</w:t>
            </w:r>
          </w:p>
        </w:tc>
        <w:tc>
          <w:tcPr>
            <w:tcW w:type="dxa" w:w="2492"/>
          </w:tcPr>
          <w:p>
            <w:pPr>
              <w:pStyle w:val="null3"/>
            </w:pPr>
            <w:r>
              <w:rPr>
                <w:rFonts w:ascii="仿宋_GB2312" w:hAnsi="仿宋_GB2312" w:cs="仿宋_GB2312" w:eastAsia="仿宋_GB2312"/>
              </w:rPr>
              <w:t>根据对服务过程中的①廉洁、保密制度措施和②提出有利于采购人的合理化建议的响应程度。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①项目组成员配备≥6人，且不少于2名高级工程师，满足的得4分，不满足不得分；在此基础上每增加1名高级工程师的加1分，最高加2分。 ②项目组成员中具有注册公用设备工程师(暖通空调)证书或咨询工程师（投资）市政专业人员的，每有一个增加2分，最高得6分。（每人只计一次分） 说明：项目组成人员不含项目负责人，成员配备＜6人不得分，需提供不限于团队人员的身份证明、学历证、职称证、资质证书等相关证明材料。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供应商具有2022年1月1日起至今可行性研究报告编制或可行性研究咨询类项目业绩，业绩以合同扫描件（复印件）为依据；每提供1个业绩得2分，最多得10分。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磋商报价得分=(磋商基准价／磋商评审价)×15 ； （最低报价不是中标(成交)的唯一依据。因落实政府采购政策进行价格调整的，以调整后的价格计算评标基准价和响应报价。）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为符合政策要求的小微企业时，给予10%的价格扣除，即：评审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