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版本号：SXLX25-01-104Z(F)20251126001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雁塔区2026年庭院供热管道老化更新改造项目初步设计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SXLX25-01-104Z(F)</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雁塔区2026年庭院供热管道老化更新改造项目初步设计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SXLX25-01-104Z(F)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雁塔区2026年庭院供热管道老化更新改造项目初步设计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区域划分的责任范围，对雁塔区约31个小区的庭院供热管道更新改造进行初步设计；配合并促进采购人完成2026年雁塔区庭院供热管道老化更新改造目标；各项服务符合国家、省、市（行业）强制性标准及采购人要求的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格要求：供应商须具备工程设计综合资质甲级或市政行业工程设计乙级及以上资质或市政行业(燃气工程、轨道交通工程除外)乙级及以上资质或市政行业(热力工程)专业乙级及以上资质，并具有特种设备生产许可证（许可项目须包含GB2类压力管道设计）。</w:t>
      </w:r>
    </w:p>
    <w:p>
      <w:pPr>
        <w:pStyle w:val="null3"/>
      </w:pPr>
      <w:r>
        <w:rPr>
          <w:rFonts w:ascii="仿宋_GB2312" w:hAnsi="仿宋_GB2312" w:cs="仿宋_GB2312" w:eastAsia="仿宋_GB2312"/>
        </w:rPr>
        <w:t>2、拟派项目负责人特殊资格要求：拟派项目负责人须具备注册公用设备工程师（暖通空调）执业资格（在本单位注册）。</w:t>
      </w:r>
    </w:p>
    <w:p>
      <w:pPr>
        <w:pStyle w:val="null3"/>
      </w:pPr>
      <w:r>
        <w:rPr>
          <w:rFonts w:ascii="仿宋_GB2312" w:hAnsi="仿宋_GB2312" w:cs="仿宋_GB2312" w:eastAsia="仿宋_GB2312"/>
        </w:rPr>
        <w:t>3、其他要求：供应商基本信息及项目负责人的基本信息在“陕西省住房和城乡建设厅（http://js.shaanxi.gov.cn/）”或陕西政务服务网https://zwfw.shaanxi.gov.cn/sx/public/index可查询。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西安市雁塔区东仪路176号东仪厂院内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杨兆龙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029-83693221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展改革委办公厅《关于招标代理服务收费有关问题的通知》（发改办价格〔2003〕857号）规定的标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区域划分的责任范围，对雁塔区约31个小区的庭院供热管道更新改造进行初步设计；配合并促进采购人完成2026年雁塔区庭院供热管道老化更新改造目标；各项服务符合国家、省、市（行业）强制性标准及采购人要求的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1,182,500.00</w:t>
      </w:r>
    </w:p>
    <w:p>
      <w:pPr>
        <w:pStyle w:val="null3"/>
      </w:pPr>
      <w:r>
        <w:rPr>
          <w:rFonts w:ascii="仿宋_GB2312" w:hAnsi="仿宋_GB2312" w:cs="仿宋_GB2312" w:eastAsia="仿宋_GB2312"/>
        </w:rPr>
        <w:t>采购包最高限价（元）: 1,182,500.00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雁塔区2026年庭院供热管道老化更新改造项目初步设计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标的名称：雁塔区2026年庭院供热管道老化更新改造项目初步设计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b/>
                <w:color w:val="000000"/>
              </w:rPr>
              <w:t>1.1建设规模及范围：</w:t>
            </w:r>
            <w:r>
              <w:rPr>
                <w:rFonts w:ascii="仿宋_GB2312" w:hAnsi="仿宋_GB2312" w:cs="仿宋_GB2312" w:eastAsia="仿宋_GB2312"/>
                <w:sz w:val="22"/>
                <w:color w:val="000000"/>
              </w:rPr>
              <w:t>本项目建设规模为</w:t>
            </w:r>
            <w:r>
              <w:rPr>
                <w:rFonts w:ascii="仿宋_GB2312" w:hAnsi="仿宋_GB2312" w:cs="仿宋_GB2312" w:eastAsia="仿宋_GB2312"/>
                <w:sz w:val="22"/>
                <w:color w:val="000000"/>
              </w:rPr>
              <w:t>31个小区热力管道实施老化更新改造。包括庭院的庭院内热力管道(约91.332公里)供热一次管网、二次管网、楼栋立管(约92.887公里)、配套设施设备、阀门、仪器仪表、管材管件及检查井等附属设施的改造和更换。</w:t>
            </w:r>
          </w:p>
          <w:p>
            <w:pPr>
              <w:pStyle w:val="null3"/>
              <w:jc w:val="both"/>
            </w:pPr>
            <w:r>
              <w:rPr>
                <w:rFonts w:ascii="仿宋_GB2312" w:hAnsi="仿宋_GB2312" w:cs="仿宋_GB2312" w:eastAsia="仿宋_GB2312"/>
                <w:sz w:val="22"/>
                <w:b/>
                <w:color w:val="000000"/>
              </w:rPr>
              <w:t>1.2设计内容（包含但不限于）：</w:t>
            </w:r>
            <w:r>
              <w:rPr>
                <w:rFonts w:ascii="仿宋_GB2312" w:hAnsi="仿宋_GB2312" w:cs="仿宋_GB2312" w:eastAsia="仿宋_GB2312"/>
                <w:sz w:val="22"/>
                <w:color w:val="000000"/>
              </w:rPr>
              <w:t>（</w:t>
            </w:r>
            <w:r>
              <w:rPr>
                <w:rFonts w:ascii="仿宋_GB2312" w:hAnsi="仿宋_GB2312" w:cs="仿宋_GB2312" w:eastAsia="仿宋_GB2312"/>
                <w:sz w:val="22"/>
                <w:color w:val="000000"/>
              </w:rPr>
              <w:t>1）本项目的文本说明</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2）初步设计方案图</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3）本项目工程投资概算</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4）项目成果资料的汇编整理及项目过程资料(变更、签证等)收集整理。</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5）项目其他</w:t>
            </w:r>
            <w:r>
              <w:rPr>
                <w:rFonts w:ascii="仿宋_GB2312" w:hAnsi="仿宋_GB2312" w:cs="仿宋_GB2312" w:eastAsia="仿宋_GB2312"/>
                <w:sz w:val="22"/>
                <w:color w:val="000000"/>
              </w:rPr>
              <w:t>初步设计</w:t>
            </w:r>
            <w:r>
              <w:rPr>
                <w:rFonts w:ascii="仿宋_GB2312" w:hAnsi="仿宋_GB2312" w:cs="仿宋_GB2312" w:eastAsia="仿宋_GB2312"/>
                <w:sz w:val="22"/>
                <w:color w:val="000000"/>
              </w:rPr>
              <w:t>有关咨询的服务。</w:t>
            </w:r>
          </w:p>
          <w:p>
            <w:pPr>
              <w:pStyle w:val="null3"/>
              <w:jc w:val="both"/>
            </w:pPr>
            <w:r>
              <w:rPr>
                <w:rFonts w:ascii="仿宋_GB2312" w:hAnsi="仿宋_GB2312" w:cs="仿宋_GB2312" w:eastAsia="仿宋_GB2312"/>
                <w:sz w:val="22"/>
                <w:b/>
                <w:color w:val="000000"/>
              </w:rPr>
              <w:t>1.3技术要求：</w:t>
            </w:r>
            <w:r>
              <w:rPr>
                <w:rFonts w:ascii="仿宋_GB2312" w:hAnsi="仿宋_GB2312" w:cs="仿宋_GB2312" w:eastAsia="仿宋_GB2312"/>
                <w:sz w:val="22"/>
                <w:color w:val="000000"/>
              </w:rPr>
              <w:t>技术符合国家有关工程建设标准强制性条文和建设部门关于供热管道工程初步设计现行的标准、规范、规程、定额、办法、示例以及陕西省关于供热管道初步设计方面的文件、规定，设计依据不限于：</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1）《建筑设计防火规范》GB50016-2014（2018 年版）；</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2）《聚乙烯供热管道工程技术标准》CJJ63-2018；</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3）《聚乙烯供热管道工程技术标准》CJJ63-2018；</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4）《城镇供热管网设计规范》(CJJ 34-2010)；</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5）《工业设备及管道绝热工程设计规范》GB50264-2013；</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6）《城镇供热管网工程施工及验收规范》CJJ28-2014；</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7）《高密度聚乙烯外护管硬质聚氨酯泡沫塑料预制直埋保温管及管件》GB/T 29047-2012；</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8）《耐热聚乙烯（PERT-II）型低温直埋复合供热管道应用技术规程》DBJ61/T153-2019；</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9）本项目前期可行性研究报告及相关批复文件。</w:t>
            </w:r>
          </w:p>
          <w:p>
            <w:pPr>
              <w:pStyle w:val="null3"/>
              <w:ind w:firstLine="440"/>
              <w:jc w:val="both"/>
            </w:pPr>
            <w:r>
              <w:rPr>
                <w:rFonts w:ascii="仿宋_GB2312" w:hAnsi="仿宋_GB2312" w:cs="仿宋_GB2312" w:eastAsia="仿宋_GB2312"/>
                <w:sz w:val="22"/>
                <w:color w:val="000000"/>
              </w:rPr>
              <w:t>服务方具备开展供热管道工程初步设计的技术力量和经验，采取科学、严谨、针对性强的执行方案，按照国家法律法规的有关规定及操作规程做好项目的实施计划、组织协调、难点、重点把握、质量控制等全方面工作。</w:t>
            </w:r>
          </w:p>
          <w:p>
            <w:pPr>
              <w:pStyle w:val="null3"/>
              <w:jc w:val="both"/>
            </w:pPr>
            <w:r>
              <w:rPr>
                <w:rFonts w:ascii="仿宋_GB2312" w:hAnsi="仿宋_GB2312" w:cs="仿宋_GB2312" w:eastAsia="仿宋_GB2312"/>
                <w:sz w:val="22"/>
                <w:b/>
                <w:color w:val="000000"/>
              </w:rPr>
              <w:t>1.4</w:t>
            </w:r>
            <w:r>
              <w:rPr>
                <w:rFonts w:ascii="仿宋_GB2312" w:hAnsi="仿宋_GB2312" w:cs="仿宋_GB2312" w:eastAsia="仿宋_GB2312"/>
                <w:sz w:val="22"/>
                <w:b/>
                <w:color w:val="000000"/>
              </w:rPr>
              <w:t>设计原则及要求</w:t>
            </w:r>
            <w:r>
              <w:rPr>
                <w:rFonts w:ascii="仿宋_GB2312" w:hAnsi="仿宋_GB2312" w:cs="仿宋_GB2312" w:eastAsia="仿宋_GB2312"/>
                <w:sz w:val="22"/>
                <w:b/>
                <w:color w:val="000000"/>
              </w:rPr>
              <w:t>：</w:t>
            </w:r>
            <w:r>
              <w:rPr>
                <w:rFonts w:ascii="仿宋_GB2312" w:hAnsi="仿宋_GB2312" w:cs="仿宋_GB2312" w:eastAsia="仿宋_GB2312"/>
                <w:sz w:val="22"/>
                <w:color w:val="000000"/>
              </w:rPr>
              <w:t>坚持维修为主、改造为辅，做到技术合理、经济合算、运行可靠，按不低于我市基础设施的平均水平实施维修改造，保证维修改造后的设备设施符合现行标准、正常运行。</w:t>
            </w:r>
          </w:p>
          <w:p>
            <w:pPr>
              <w:pStyle w:val="null3"/>
              <w:jc w:val="both"/>
            </w:pPr>
            <w:r>
              <w:rPr>
                <w:rFonts w:ascii="仿宋_GB2312" w:hAnsi="仿宋_GB2312" w:cs="仿宋_GB2312" w:eastAsia="仿宋_GB2312"/>
                <w:sz w:val="22"/>
                <w:b/>
                <w:color w:val="000000"/>
              </w:rPr>
              <w:t>1.5</w:t>
            </w:r>
            <w:r>
              <w:rPr>
                <w:rFonts w:ascii="仿宋_GB2312" w:hAnsi="仿宋_GB2312" w:cs="仿宋_GB2312" w:eastAsia="仿宋_GB2312"/>
                <w:sz w:val="22"/>
                <w:b/>
                <w:color w:val="000000"/>
              </w:rPr>
              <w:t>进度要求：</w:t>
            </w:r>
            <w:r>
              <w:rPr>
                <w:rFonts w:ascii="仿宋_GB2312" w:hAnsi="仿宋_GB2312" w:cs="仿宋_GB2312" w:eastAsia="仿宋_GB2312"/>
                <w:sz w:val="22"/>
                <w:color w:val="000000"/>
              </w:rPr>
              <w:t>通过采取组织、技术、经济</w:t>
            </w:r>
            <w:r>
              <w:rPr>
                <w:rFonts w:ascii="仿宋_GB2312" w:hAnsi="仿宋_GB2312" w:cs="仿宋_GB2312" w:eastAsia="仿宋_GB2312"/>
                <w:sz w:val="22"/>
                <w:color w:val="000000"/>
              </w:rPr>
              <w:t>等</w:t>
            </w:r>
            <w:r>
              <w:rPr>
                <w:rFonts w:ascii="仿宋_GB2312" w:hAnsi="仿宋_GB2312" w:cs="仿宋_GB2312" w:eastAsia="仿宋_GB2312"/>
                <w:sz w:val="22"/>
                <w:color w:val="000000"/>
              </w:rPr>
              <w:t>控制措施将项目实施进度控制在采购人所要求的合理时间节点内。</w:t>
            </w:r>
          </w:p>
          <w:p>
            <w:pPr>
              <w:pStyle w:val="null3"/>
              <w:jc w:val="left"/>
            </w:pPr>
            <w:r>
              <w:rPr>
                <w:rFonts w:ascii="仿宋_GB2312" w:hAnsi="仿宋_GB2312" w:cs="仿宋_GB2312" w:eastAsia="仿宋_GB2312"/>
                <w:sz w:val="22"/>
                <w:b/>
                <w:color w:val="000000"/>
              </w:rPr>
              <w:t>1.6成果要求：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成果内容应完整真实、科学严谨、思路清晰、具有代表性，综合考虑</w:t>
            </w:r>
            <w:r>
              <w:rPr>
                <w:rFonts w:ascii="仿宋_GB2312" w:hAnsi="仿宋_GB2312" w:cs="仿宋_GB2312" w:eastAsia="仿宋_GB2312"/>
                <w:sz w:val="22"/>
                <w:color w:val="000000"/>
              </w:rPr>
              <w:t>庭院</w:t>
            </w:r>
            <w:r>
              <w:rPr>
                <w:rFonts w:ascii="仿宋_GB2312" w:hAnsi="仿宋_GB2312" w:cs="仿宋_GB2312" w:eastAsia="仿宋_GB2312"/>
                <w:sz w:val="22"/>
                <w:color w:val="000000"/>
              </w:rPr>
              <w:t>供热</w:t>
            </w:r>
            <w:r>
              <w:rPr>
                <w:rFonts w:ascii="仿宋_GB2312" w:hAnsi="仿宋_GB2312" w:cs="仿宋_GB2312" w:eastAsia="仿宋_GB2312"/>
                <w:sz w:val="22"/>
                <w:color w:val="000000"/>
              </w:rPr>
              <w:t>管道</w:t>
            </w:r>
            <w:r>
              <w:rPr>
                <w:rFonts w:ascii="仿宋_GB2312" w:hAnsi="仿宋_GB2312" w:cs="仿宋_GB2312" w:eastAsia="仿宋_GB2312"/>
                <w:sz w:val="22"/>
                <w:color w:val="000000"/>
              </w:rPr>
              <w:t>更新改造</w:t>
            </w:r>
            <w:r>
              <w:rPr>
                <w:rFonts w:ascii="仿宋_GB2312" w:hAnsi="仿宋_GB2312" w:cs="仿宋_GB2312" w:eastAsia="仿宋_GB2312"/>
                <w:sz w:val="22"/>
                <w:color w:val="000000"/>
              </w:rPr>
              <w:t>的</w:t>
            </w:r>
            <w:r>
              <w:rPr>
                <w:rFonts w:ascii="仿宋_GB2312" w:hAnsi="仿宋_GB2312" w:cs="仿宋_GB2312" w:eastAsia="仿宋_GB2312"/>
                <w:sz w:val="22"/>
                <w:color w:val="000000"/>
              </w:rPr>
              <w:t>功能和潜力，提出更新实施详细规划</w:t>
            </w:r>
            <w:r>
              <w:rPr>
                <w:rFonts w:ascii="仿宋_GB2312" w:hAnsi="仿宋_GB2312" w:cs="仿宋_GB2312" w:eastAsia="仿宋_GB2312"/>
                <w:sz w:val="22"/>
                <w:color w:val="000000"/>
              </w:rPr>
              <w:t>和可行性</w:t>
            </w:r>
            <w:r>
              <w:rPr>
                <w:rFonts w:ascii="仿宋_GB2312" w:hAnsi="仿宋_GB2312" w:cs="仿宋_GB2312" w:eastAsia="仿宋_GB2312"/>
                <w:sz w:val="22"/>
                <w:color w:val="000000"/>
              </w:rPr>
              <w:t>优化方案</w:t>
            </w:r>
            <w:r>
              <w:rPr>
                <w:rFonts w:ascii="仿宋_GB2312" w:hAnsi="仿宋_GB2312" w:cs="仿宋_GB2312" w:eastAsia="仿宋_GB2312"/>
                <w:sz w:val="22"/>
                <w:color w:val="000000"/>
              </w:rPr>
              <w:t>，</w:t>
            </w:r>
            <w:r>
              <w:rPr>
                <w:rFonts w:ascii="仿宋_GB2312" w:hAnsi="仿宋_GB2312" w:cs="仿宋_GB2312" w:eastAsia="仿宋_GB2312"/>
                <w:sz w:val="22"/>
                <w:color w:val="000000"/>
              </w:rPr>
              <w:t>符合新形势、新变化、</w:t>
            </w:r>
            <w:r>
              <w:rPr>
                <w:rFonts w:ascii="仿宋_GB2312" w:hAnsi="仿宋_GB2312" w:cs="仿宋_GB2312" w:eastAsia="仿宋_GB2312"/>
                <w:sz w:val="22"/>
                <w:color w:val="000000"/>
              </w:rPr>
              <w:t>新</w:t>
            </w:r>
            <w:r>
              <w:rPr>
                <w:rFonts w:ascii="仿宋_GB2312" w:hAnsi="仿宋_GB2312" w:cs="仿宋_GB2312" w:eastAsia="仿宋_GB2312"/>
                <w:sz w:val="22"/>
                <w:color w:val="000000"/>
              </w:rPr>
              <w:t>发展下</w:t>
            </w:r>
            <w:r>
              <w:rPr>
                <w:rFonts w:ascii="仿宋_GB2312" w:hAnsi="仿宋_GB2312" w:cs="仿宋_GB2312" w:eastAsia="仿宋_GB2312"/>
                <w:sz w:val="22"/>
                <w:color w:val="000000"/>
              </w:rPr>
              <w:t>庭院</w:t>
            </w:r>
            <w:r>
              <w:rPr>
                <w:rFonts w:ascii="仿宋_GB2312" w:hAnsi="仿宋_GB2312" w:cs="仿宋_GB2312" w:eastAsia="仿宋_GB2312"/>
                <w:sz w:val="22"/>
                <w:color w:val="000000"/>
              </w:rPr>
              <w:t>供热</w:t>
            </w:r>
            <w:r>
              <w:rPr>
                <w:rFonts w:ascii="仿宋_GB2312" w:hAnsi="仿宋_GB2312" w:cs="仿宋_GB2312" w:eastAsia="仿宋_GB2312"/>
                <w:sz w:val="22"/>
                <w:color w:val="000000"/>
              </w:rPr>
              <w:t>管道</w:t>
            </w:r>
            <w:r>
              <w:rPr>
                <w:rFonts w:ascii="仿宋_GB2312" w:hAnsi="仿宋_GB2312" w:cs="仿宋_GB2312" w:eastAsia="仿宋_GB2312"/>
                <w:sz w:val="22"/>
                <w:color w:val="000000"/>
              </w:rPr>
              <w:t>的现状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成果</w:t>
            </w:r>
            <w:r>
              <w:rPr>
                <w:rFonts w:ascii="仿宋_GB2312" w:hAnsi="仿宋_GB2312" w:cs="仿宋_GB2312" w:eastAsia="仿宋_GB2312"/>
                <w:sz w:val="22"/>
                <w:color w:val="000000"/>
              </w:rPr>
              <w:t>文件包括：</w:t>
            </w:r>
            <w:r>
              <w:rPr>
                <w:rFonts w:ascii="仿宋_GB2312" w:hAnsi="仿宋_GB2312" w:cs="仿宋_GB2312" w:eastAsia="仿宋_GB2312"/>
                <w:sz w:val="22"/>
                <w:color w:val="000000"/>
              </w:rPr>
              <w:t>初步设计说明、初步设计方案图、工程投资概算</w:t>
            </w:r>
            <w:r>
              <w:rPr>
                <w:rFonts w:ascii="仿宋_GB2312" w:hAnsi="仿宋_GB2312" w:cs="仿宋_GB2312" w:eastAsia="仿宋_GB2312"/>
                <w:sz w:val="22"/>
                <w:color w:val="000000"/>
              </w:rPr>
              <w:t>等，所有设计成果</w:t>
            </w:r>
            <w:r>
              <w:rPr>
                <w:rFonts w:ascii="仿宋_GB2312" w:hAnsi="仿宋_GB2312" w:cs="仿宋_GB2312" w:eastAsia="仿宋_GB2312"/>
                <w:sz w:val="22"/>
                <w:color w:val="000000"/>
              </w:rPr>
              <w:t>初稿</w:t>
            </w:r>
            <w:r>
              <w:rPr>
                <w:rFonts w:ascii="仿宋_GB2312" w:hAnsi="仿宋_GB2312" w:cs="仿宋_GB2312" w:eastAsia="仿宋_GB2312"/>
                <w:sz w:val="22"/>
                <w:color w:val="000000"/>
              </w:rPr>
              <w:t>完成</w:t>
            </w:r>
            <w:r>
              <w:rPr>
                <w:rFonts w:ascii="仿宋_GB2312" w:hAnsi="仿宋_GB2312" w:cs="仿宋_GB2312" w:eastAsia="仿宋_GB2312"/>
                <w:sz w:val="22"/>
                <w:color w:val="000000"/>
              </w:rPr>
              <w:t>后应按</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提出的审查意见和修改意见进行修改，直至获得有关主管部门审批通过</w:t>
            </w:r>
            <w:r>
              <w:rPr>
                <w:rFonts w:ascii="仿宋_GB2312" w:hAnsi="仿宋_GB2312" w:cs="仿宋_GB2312" w:eastAsia="仿宋_GB2312"/>
                <w:sz w:val="22"/>
                <w:color w:val="000000"/>
              </w:rPr>
              <w:t>，</w:t>
            </w:r>
            <w:r>
              <w:rPr>
                <w:rFonts w:ascii="仿宋_GB2312" w:hAnsi="仿宋_GB2312" w:cs="仿宋_GB2312" w:eastAsia="仿宋_GB2312"/>
                <w:sz w:val="22"/>
                <w:color w:val="000000"/>
              </w:rPr>
              <w:t>本项目所完成的</w:t>
            </w:r>
            <w:r>
              <w:rPr>
                <w:rFonts w:ascii="仿宋_GB2312" w:hAnsi="仿宋_GB2312" w:cs="仿宋_GB2312" w:eastAsia="仿宋_GB2312"/>
                <w:sz w:val="22"/>
                <w:color w:val="000000"/>
              </w:rPr>
              <w:t>设计</w:t>
            </w:r>
            <w:r>
              <w:rPr>
                <w:rFonts w:ascii="仿宋_GB2312" w:hAnsi="仿宋_GB2312" w:cs="仿宋_GB2312" w:eastAsia="仿宋_GB2312"/>
                <w:sz w:val="22"/>
                <w:color w:val="000000"/>
              </w:rPr>
              <w:t>成果的所有权、知识产权归</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）所有提供资料包括：电子版</w:t>
            </w:r>
            <w:r>
              <w:rPr>
                <w:rFonts w:ascii="仿宋_GB2312" w:hAnsi="仿宋_GB2312" w:cs="仿宋_GB2312" w:eastAsia="仿宋_GB2312"/>
                <w:sz w:val="22"/>
                <w:color w:val="000000"/>
              </w:rPr>
              <w:t>2</w:t>
            </w:r>
            <w:r>
              <w:rPr>
                <w:rFonts w:ascii="仿宋_GB2312" w:hAnsi="仿宋_GB2312" w:cs="仿宋_GB2312" w:eastAsia="仿宋_GB2312"/>
                <w:sz w:val="22"/>
                <w:color w:val="000000"/>
              </w:rPr>
              <w:t>份（整套文本及</w:t>
            </w:r>
            <w:r>
              <w:rPr>
                <w:rFonts w:ascii="仿宋_GB2312" w:hAnsi="仿宋_GB2312" w:cs="仿宋_GB2312" w:eastAsia="仿宋_GB2312"/>
                <w:sz w:val="22"/>
                <w:color w:val="000000"/>
              </w:rPr>
              <w:t>图纸</w:t>
            </w:r>
            <w:r>
              <w:rPr>
                <w:rFonts w:ascii="仿宋_GB2312" w:hAnsi="仿宋_GB2312" w:cs="仿宋_GB2312" w:eastAsia="仿宋_GB2312"/>
                <w:sz w:val="22"/>
                <w:color w:val="000000"/>
              </w:rPr>
              <w:t>采用</w:t>
            </w:r>
            <w:r>
              <w:rPr>
                <w:rFonts w:ascii="仿宋_GB2312" w:hAnsi="仿宋_GB2312" w:cs="仿宋_GB2312" w:eastAsia="仿宋_GB2312"/>
                <w:sz w:val="22"/>
                <w:color w:val="000000"/>
              </w:rPr>
              <w:t>JPG或者PDF格式），文本成册</w:t>
            </w:r>
            <w:r>
              <w:rPr>
                <w:rFonts w:ascii="仿宋_GB2312" w:hAnsi="仿宋_GB2312" w:cs="仿宋_GB2312" w:eastAsia="仿宋_GB2312"/>
                <w:sz w:val="22"/>
                <w:color w:val="000000"/>
              </w:rPr>
              <w:t>4</w:t>
            </w:r>
            <w:r>
              <w:rPr>
                <w:rFonts w:ascii="仿宋_GB2312" w:hAnsi="仿宋_GB2312" w:cs="仿宋_GB2312" w:eastAsia="仿宋_GB2312"/>
                <w:sz w:val="22"/>
                <w:color w:val="000000"/>
              </w:rPr>
              <w:t>份。</w:t>
            </w:r>
          </w:p>
          <w:p>
            <w:pPr>
              <w:pStyle w:val="null3"/>
              <w:jc w:val="left"/>
            </w:pPr>
            <w:r>
              <w:rPr>
                <w:rFonts w:ascii="仿宋_GB2312" w:hAnsi="仿宋_GB2312" w:cs="仿宋_GB2312" w:eastAsia="仿宋_GB2312"/>
                <w:sz w:val="22"/>
                <w:b/>
                <w:color w:val="000000"/>
              </w:rPr>
              <w:t>1.7服务</w:t>
            </w:r>
            <w:r>
              <w:rPr>
                <w:rFonts w:ascii="仿宋_GB2312" w:hAnsi="仿宋_GB2312" w:cs="仿宋_GB2312" w:eastAsia="仿宋_GB2312"/>
                <w:sz w:val="22"/>
                <w:b/>
                <w:color w:val="000000"/>
              </w:rPr>
              <w:t>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1）服务方须指派专属人员与采购人联系服务事宜，服务响应时间应根据采购人实际安排随时调整。</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2）服务方需根据服务实际情况编制服务方案、管理方案、服务计划、重点难点分析、质量控制等方案措施。</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服务方在本项目人员要求技术水平高、组织能力强、有丰富的实践经验，懂管理、善于协调。服务人员中的组织人员、技术人员、监管人员、辅助人员等要求有服务经验；服务队伍稳定，保证整个项目顺利完成，服务方未经采购人同意，不得擅自更换本项目在响应文件中指定的服务队伍。</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4）服务过程中，严格遵守各种管理规定及规章制度，做到奉公守法、诚实守信、廉洁自律、安全文明；服务过程中如发生工伤及意外事故由服务单位负责。</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5）服务方拟投入的服务人员对于在工作中获悉的一切政府工作的信息应严格保守秘密，不得泄露；对于违反者，给采购人单位造成不良社会影响的，或给采购人单位造成损失的，由服务方承担赔偿责任。</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6）严格按照国家、陕西省、西安市有关规定及采购人要求进行服务，不得随意更改或者变换服务内容，每项服务内容在实施前应事先取得采购人的落实后方可实施</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7）配合促进采购人安排的其他相关工作。</w:t>
            </w:r>
          </w:p>
          <w:p>
            <w:pPr>
              <w:pStyle w:val="null3"/>
              <w:jc w:val="left"/>
            </w:pPr>
            <w:r>
              <w:rPr>
                <w:rFonts w:ascii="仿宋_GB2312" w:hAnsi="仿宋_GB2312" w:cs="仿宋_GB2312" w:eastAsia="仿宋_GB2312"/>
                <w:sz w:val="22"/>
                <w:b/>
                <w:color w:val="000000"/>
              </w:rPr>
              <w:t>1.8服务标准：</w:t>
            </w:r>
            <w:r>
              <w:rPr>
                <w:rFonts w:ascii="仿宋_GB2312" w:hAnsi="仿宋_GB2312" w:cs="仿宋_GB2312" w:eastAsia="仿宋_GB2312"/>
                <w:sz w:val="22"/>
                <w:color w:val="000000"/>
              </w:rPr>
              <w:t>（</w:t>
            </w:r>
            <w:r>
              <w:rPr>
                <w:rFonts w:ascii="仿宋_GB2312" w:hAnsi="仿宋_GB2312" w:cs="仿宋_GB2312" w:eastAsia="仿宋_GB2312"/>
                <w:sz w:val="22"/>
                <w:color w:val="000000"/>
              </w:rPr>
              <w:t>1）各项服务符合国家、省、市（行业）强制性标准及采购人要求的合格标准。</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0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服务方按项目服务要求及特性，自行组织实施与管理，建立以负责人为核心的项目团队，相关人员经过严格培训，具有相关工作经验，能够胜任项目工作，保证项目顺利实施。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本项目标的所属行业为： 其他未列明行业 （从业人员300人以下的为中小微型企业。其中，从业人员100人及以上的为中型企业；从业人员10人及以上的为小型企业；从业人员10人以下的为微型企业）。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服务方提供的初步设计成果经专家、采购人评审后，最终确认使用该设计成果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它相关的一切费用，包括但不限于：设计费、人工费、设备使用费、资料费、管理费、验收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授权分公司或分支机构参与磋商，可以使用总公司的资质或业绩。总公司单独参与磋商时，可以使用分公司的业绩，在相关资质证书的管理要求和适用范围内可以使用分公司资质。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本项目资格审查小组由1名采购人代表和2名采购代理机构工作人员组成；资格审查小组依法对供应商的资格进行审查。③控股管理关系及重大违法记录等以响应截止日资格审查小组通过“信用中国”“中国执行信息公开网”“中国政府采购网”等网站现场查询的结果为准。</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提供供应商2023或2024年度经审计的财务会计报告或其在响应文件提交截止时间前3个月内其基本户银行出具的资信证明（附基本户存款账户信息）。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在项目电子化交易系统中按要求填写《响应函》完成承诺并进行电子签章（具体以响应截止日现场查询结果为准）。</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须具备工程设计综合资质甲级或市政行业工程设计乙级及以上资质或市政行业(燃气工程、轨道交通工程除外)乙级及以上资质或市政行业(热力工程)专业乙级及以上资质，并具有特种设备生产许可证（许可项目须包含GB2类压力管道设计）。</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拟派项目负责人特殊资格要求</w:t>
            </w:r>
          </w:p>
        </w:tc>
        <w:tc>
          <w:tcPr>
            <w:tcW w:type="dxa" w:w="3322"/>
          </w:tcPr>
          <w:p>
            <w:pPr>
              <w:pStyle w:val="null3"/>
            </w:pPr>
            <w:r>
              <w:rPr>
                <w:rFonts w:ascii="仿宋_GB2312" w:hAnsi="仿宋_GB2312" w:cs="仿宋_GB2312" w:eastAsia="仿宋_GB2312"/>
              </w:rPr>
              <w:t>拟派项目负责人须具备注册公用设备工程师（暖通空调）执业资格（在本单位注册）。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供应商基本信息及项目负责人的基本信息在“陕西省住房和城乡建设厅（http://js.shaanxi.gov.cn/）”或陕西政务服务网https://zwfw.shaanxi.gov.cn/sx/public/index可查询。</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响应文件内容齐全、无遗漏，符合采购文件中的实质性条款要求，且未含有采购人不能接受的附加条件。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服务期限、服务地点、质量标准</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根据对项目理解情况的①设计范围、②设计要求、③设计依据、④设计目标的响应程度。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根据实施方案的①实施思路、②工作计划、③工作方法、④进度保障、⑤设计成果审核的响应程度。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根据对管理制度的①管理制度、②职责及分工、③工作规范的响应程度。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根据对服务质量的①管理方案、②保障措施、③整改完善及验收方案的响应程度。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造价控制、合理化建议及廉洁、保密</w:t>
            </w:r>
          </w:p>
        </w:tc>
        <w:tc>
          <w:tcPr>
            <w:tcW w:type="dxa" w:w="2492"/>
          </w:tcPr>
          <w:p>
            <w:pPr>
              <w:pStyle w:val="null3"/>
            </w:pPr>
            <w:r>
              <w:rPr>
                <w:rFonts w:ascii="仿宋_GB2312" w:hAnsi="仿宋_GB2312" w:cs="仿宋_GB2312" w:eastAsia="仿宋_GB2312"/>
              </w:rPr>
              <w:t>根据对服务过程中①造价控制措施、②有利于采购人的合理化建议、③廉洁、保密制度及措施的响应程度。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①项目组成员配备≥6人，且不少于2名市政工程相关专业高级工程师，满足的得3分，不满足不得分；在此基础上每增加1名市政工程相关专业工程师的加1分，最高加2分。 ②项目组成员中具有本工程相关专业（建筑、结构、给排水、电气、暖通空调等任意专业）注册执业资格的，每有 1 名得 1分，最高得 4分。（每人只计一次分） 说明：项目组成人员不含项目负责人，成员配备＜6人不得分，需提供不限于团队人员的身份证明、学历证、职称证、资质证书等相关证明材料。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供应商具有2022年1月1日起至今管网设计类项目业绩，业绩以合同扫描件（复印件）为依据；每提供1个业绩得2分，最多得10分。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 磋商报价得分=(磋商基准价／磋商评审价)×15 ； （最低报价不是中标(成交)的唯一依据。因落实政府采购政策进行价格调整的，以调整后的价格计算评标基准价和响应报价。）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为符合政策要求的小微企业时，给予10%的价格扣除，即：评审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