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版本号：ZRZ-ZCFW-2025-6520251202001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“新优质学校成长计划”软件提升项目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ZRZ-ZCFW-2025-65</w:t>
      </w:r>
      <w:r>
        <w:br/>
      </w:r>
      <w:r>
        <w:br/>
      </w:r>
      <w:r>
        <w:br/>
      </w:r>
    </w:p>
    <w:p>
      <w:pPr>
        <w:pStyle w:val="null3"/>
        <w:jc w:val="center"/>
        <w:outlineLvl w:val="2"/>
      </w:pPr>
      <w:r>
        <w:rPr>
          <w:rFonts w:ascii="仿宋_GB2312" w:hAnsi="仿宋_GB2312" w:cs="仿宋_GB2312" w:eastAsia="仿宋_GB2312"/>
          <w:sz w:val="28"/>
          <w:b/>
        </w:rPr>
        <w:t>西安市城南中学</w:t>
      </w:r>
    </w:p>
    <w:p>
      <w:pPr>
        <w:pStyle w:val="null3"/>
        <w:jc w:val="center"/>
        <w:outlineLvl w:val="2"/>
      </w:pPr>
      <w:r>
        <w:rPr>
          <w:rFonts w:ascii="仿宋_GB2312" w:hAnsi="仿宋_GB2312" w:cs="仿宋_GB2312" w:eastAsia="仿宋_GB2312"/>
          <w:sz w:val="28"/>
          <w:b/>
        </w:rPr>
        <w:t>陕西众睿智项目管理有限公司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陕西众睿智项目管理有限公司</w:t>
      </w:r>
      <w:r>
        <w:rPr>
          <w:rFonts w:ascii="仿宋_GB2312" w:hAnsi="仿宋_GB2312" w:cs="仿宋_GB2312" w:eastAsia="仿宋_GB2312"/>
        </w:rPr>
        <w:t>（以下简称“代理机构”）受</w:t>
      </w:r>
      <w:r>
        <w:rPr>
          <w:rFonts w:ascii="仿宋_GB2312" w:hAnsi="仿宋_GB2312" w:cs="仿宋_GB2312" w:eastAsia="仿宋_GB2312"/>
        </w:rPr>
        <w:t>西安市城南中学</w:t>
      </w:r>
      <w:r>
        <w:rPr>
          <w:rFonts w:ascii="仿宋_GB2312" w:hAnsi="仿宋_GB2312" w:cs="仿宋_GB2312" w:eastAsia="仿宋_GB2312"/>
        </w:rPr>
        <w:t>委托，拟对</w:t>
      </w:r>
      <w:r>
        <w:rPr>
          <w:rFonts w:ascii="仿宋_GB2312" w:hAnsi="仿宋_GB2312" w:cs="仿宋_GB2312" w:eastAsia="仿宋_GB2312"/>
        </w:rPr>
        <w:t>“新优质学校成长计划”软件提升项目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ZRZ-ZCFW-2025-65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“新优质学校成长计划”软件提升项目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服务培训，举办学科活动，提升校园文件建设，开展讲座。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采购包1（中考备考课堂教 学诊断提升）：属于专门面向中小企业采购。</w:t>
      </w:r>
    </w:p>
    <w:p>
      <w:pPr>
        <w:pStyle w:val="null3"/>
      </w:pPr>
      <w:r>
        <w:rPr>
          <w:rFonts w:ascii="仿宋_GB2312" w:hAnsi="仿宋_GB2312" w:cs="仿宋_GB2312" w:eastAsia="仿宋_GB2312"/>
        </w:rPr>
        <w:t>采购包2（学生心理健康管理评价服务）：属于专门面向中小企业采购。</w:t>
      </w:r>
    </w:p>
    <w:p>
      <w:pPr>
        <w:pStyle w:val="null3"/>
      </w:pPr>
      <w:r>
        <w:rPr>
          <w:rFonts w:ascii="仿宋_GB2312" w:hAnsi="仿宋_GB2312" w:cs="仿宋_GB2312" w:eastAsia="仿宋_GB2312"/>
        </w:rPr>
        <w:t>采购包3（提升校园文化建 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财务审计报告：供应商提供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3、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4、声明函：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信用中国”网站及中国政府采购网查询记录：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财务审计报告：供应商提供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3、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4、声明函：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信用中国”网站及中国政府采购网查询记录：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财务审计报告：供应商提供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3、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4、声明函：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信用中国”网站及中国政府采购网查询记录：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西安市城南中学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陕西省西安市长安南路8号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西安市城南中学经办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029-85397322-888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陕西众睿智项目管理有限公司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西安市雁塔区朱雀大街中段21号朱雀云天1号楼12层1202室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029-85272109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p>
          <w:p>
            <w:pPr>
              <w:pStyle w:val="null3"/>
            </w:pPr>
            <w:r>
              <w:rPr>
                <w:rFonts w:ascii="仿宋_GB2312" w:hAnsi="仿宋_GB2312" w:cs="仿宋_GB2312" w:eastAsia="仿宋_GB2312"/>
              </w:rPr>
              <w:t>采购包2：110,000.00元</w:t>
            </w:r>
          </w:p>
          <w:p>
            <w:pPr>
              <w:pStyle w:val="null3"/>
            </w:pPr>
            <w:r>
              <w:rPr>
                <w:rFonts w:ascii="仿宋_GB2312" w:hAnsi="仿宋_GB2312" w:cs="仿宋_GB2312" w:eastAsia="仿宋_GB2312"/>
              </w:rPr>
              <w:t>采购包3：210,000.00元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代理服务费收费标准：招标代理服务费按定额人民币伍仟元整（￥5000.00）收取/采购包。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西安市城南中学</w:t>
      </w:r>
      <w:r>
        <w:rPr>
          <w:rFonts w:ascii="仿宋_GB2312" w:hAnsi="仿宋_GB2312" w:cs="仿宋_GB2312" w:eastAsia="仿宋_GB2312"/>
        </w:rPr>
        <w:t>和</w:t>
      </w:r>
      <w:r>
        <w:rPr>
          <w:rFonts w:ascii="仿宋_GB2312" w:hAnsi="仿宋_GB2312" w:cs="仿宋_GB2312" w:eastAsia="仿宋_GB2312"/>
        </w:rPr>
        <w:t>陕西众睿智项目管理有限公司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西安市城南中学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陕西众睿智项目管理有限公司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西安市城南中学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陕西众睿智项目管理有限公司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符合采购文件要求。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陕西众睿智项目管理有限公司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陕西众睿智项目管理有限公司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陕西众睿智项目管理有限公司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联系人：李肖</w:t>
      </w:r>
    </w:p>
    <w:p>
      <w:pPr>
        <w:pStyle w:val="null3"/>
      </w:pPr>
      <w:r>
        <w:rPr>
          <w:rFonts w:ascii="仿宋_GB2312" w:hAnsi="仿宋_GB2312" w:cs="仿宋_GB2312" w:eastAsia="仿宋_GB2312"/>
        </w:rPr>
        <w:t>联系电话：029-85272109</w:t>
      </w:r>
    </w:p>
    <w:p>
      <w:pPr>
        <w:pStyle w:val="null3"/>
      </w:pPr>
      <w:r>
        <w:rPr>
          <w:rFonts w:ascii="仿宋_GB2312" w:hAnsi="仿宋_GB2312" w:cs="仿宋_GB2312" w:eastAsia="仿宋_GB2312"/>
        </w:rPr>
        <w:t>地址：西安市雁塔区朱雀大街中段21号朱雀云天1号楼12层1202室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服务培训，举办学科活动，提升校园文件建设，开展讲座。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中考备考课堂教学诊断提升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110,000.00</w:t>
      </w:r>
    </w:p>
    <w:p>
      <w:pPr>
        <w:pStyle w:val="null3"/>
      </w:pPr>
      <w:r>
        <w:rPr>
          <w:rFonts w:ascii="仿宋_GB2312" w:hAnsi="仿宋_GB2312" w:cs="仿宋_GB2312" w:eastAsia="仿宋_GB2312"/>
        </w:rPr>
        <w:t>采购包最高限价（元）: 110,000.00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学生心理健康管理评价服务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210,000.00</w:t>
      </w:r>
    </w:p>
    <w:p>
      <w:pPr>
        <w:pStyle w:val="null3"/>
      </w:pPr>
      <w:r>
        <w:rPr>
          <w:rFonts w:ascii="仿宋_GB2312" w:hAnsi="仿宋_GB2312" w:cs="仿宋_GB2312" w:eastAsia="仿宋_GB2312"/>
        </w:rPr>
        <w:t>采购包最高限价（元）: 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提升校园文化建设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标的名称：中考备考课堂教学诊断提升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after="255"/>
              <w:jc w:val="both"/>
              <w:outlineLvl w:val="1"/>
            </w:pPr>
            <w:r>
              <w:rPr>
                <w:rFonts w:ascii="仿宋_GB2312" w:hAnsi="仿宋_GB2312" w:cs="仿宋_GB2312" w:eastAsia="仿宋_GB2312"/>
                <w:sz w:val="21"/>
                <w:b/>
              </w:rPr>
              <w:t>一、培训目标</w:t>
            </w:r>
          </w:p>
          <w:p>
            <w:pPr>
              <w:pStyle w:val="null3"/>
              <w:ind w:firstLine="420"/>
              <w:jc w:val="both"/>
            </w:pPr>
            <w:r>
              <w:rPr>
                <w:rFonts w:ascii="仿宋_GB2312" w:hAnsi="仿宋_GB2312" w:cs="仿宋_GB2312" w:eastAsia="仿宋_GB2312"/>
                <w:sz w:val="21"/>
                <w:color w:val="404040"/>
                <w:shd w:fill="FFFFFF" w:val="clear"/>
              </w:rPr>
              <w:t>1.构建精准诊断体系，优化备考课堂质量。</w:t>
            </w:r>
          </w:p>
          <w:p>
            <w:pPr>
              <w:pStyle w:val="null3"/>
              <w:ind w:firstLine="420"/>
              <w:jc w:val="both"/>
            </w:pPr>
            <w:r>
              <w:rPr>
                <w:rFonts w:ascii="仿宋_GB2312" w:hAnsi="仿宋_GB2312" w:cs="仿宋_GB2312" w:eastAsia="仿宋_GB2312"/>
                <w:sz w:val="21"/>
                <w:color w:val="404040"/>
                <w:shd w:fill="FFFFFF" w:val="clear"/>
              </w:rPr>
              <w:t>2.聚焦备考实效，提升学生应试能力。</w:t>
            </w:r>
          </w:p>
          <w:p>
            <w:pPr>
              <w:pStyle w:val="null3"/>
              <w:ind w:firstLine="420"/>
              <w:jc w:val="both"/>
            </w:pPr>
            <w:r>
              <w:rPr>
                <w:rFonts w:ascii="仿宋_GB2312" w:hAnsi="仿宋_GB2312" w:cs="仿宋_GB2312" w:eastAsia="仿宋_GB2312"/>
                <w:sz w:val="21"/>
                <w:color w:val="404040"/>
                <w:shd w:fill="FFFFFF" w:val="clear"/>
              </w:rPr>
              <w:t>3.赋能教师专业成长，强化中考备考能力。</w:t>
            </w:r>
          </w:p>
          <w:p>
            <w:pPr>
              <w:pStyle w:val="null3"/>
              <w:ind w:firstLine="420"/>
              <w:jc w:val="both"/>
            </w:pPr>
            <w:r>
              <w:rPr>
                <w:rFonts w:ascii="仿宋_GB2312" w:hAnsi="仿宋_GB2312" w:cs="仿宋_GB2312" w:eastAsia="仿宋_GB2312"/>
                <w:sz w:val="21"/>
                <w:color w:val="404040"/>
                <w:shd w:fill="FFFFFF" w:val="clear"/>
              </w:rPr>
              <w:t>4.促进学科协同备考，提升整体冲刺效能。</w:t>
            </w:r>
          </w:p>
          <w:p>
            <w:pPr>
              <w:pStyle w:val="null3"/>
              <w:spacing w:before="255" w:after="255"/>
              <w:jc w:val="both"/>
              <w:outlineLvl w:val="1"/>
            </w:pPr>
            <w:r>
              <w:rPr>
                <w:rFonts w:ascii="仿宋_GB2312" w:hAnsi="仿宋_GB2312" w:cs="仿宋_GB2312" w:eastAsia="仿宋_GB2312"/>
                <w:sz w:val="21"/>
                <w:b/>
              </w:rPr>
              <w:t>二、培训学科和对象</w:t>
            </w:r>
          </w:p>
          <w:p>
            <w:pPr>
              <w:pStyle w:val="null3"/>
              <w:ind w:firstLine="420"/>
              <w:jc w:val="both"/>
            </w:pPr>
            <w:r>
              <w:rPr>
                <w:rFonts w:ascii="仿宋_GB2312" w:hAnsi="仿宋_GB2312" w:cs="仿宋_GB2312" w:eastAsia="仿宋_GB2312"/>
                <w:sz w:val="21"/>
                <w:color w:val="404040"/>
                <w:shd w:fill="FFFFFF" w:val="clear"/>
              </w:rPr>
              <w:t>学科：语文、数学、英语、物理、化学、历史、道法。</w:t>
            </w:r>
          </w:p>
          <w:p>
            <w:pPr>
              <w:pStyle w:val="null3"/>
              <w:ind w:firstLine="420"/>
              <w:jc w:val="both"/>
            </w:pPr>
            <w:r>
              <w:rPr>
                <w:rFonts w:ascii="仿宋_GB2312" w:hAnsi="仿宋_GB2312" w:cs="仿宋_GB2312" w:eastAsia="仿宋_GB2312"/>
                <w:sz w:val="21"/>
                <w:color w:val="404040"/>
                <w:shd w:fill="FFFFFF" w:val="clear"/>
              </w:rPr>
              <w:t>对象：初中中考学科全体教师。</w:t>
            </w:r>
          </w:p>
          <w:p>
            <w:pPr>
              <w:pStyle w:val="null3"/>
              <w:spacing w:before="255" w:after="255"/>
              <w:jc w:val="both"/>
              <w:outlineLvl w:val="1"/>
            </w:pPr>
            <w:r>
              <w:rPr>
                <w:rFonts w:ascii="仿宋_GB2312" w:hAnsi="仿宋_GB2312" w:cs="仿宋_GB2312" w:eastAsia="仿宋_GB2312"/>
                <w:sz w:val="21"/>
                <w:b/>
              </w:rPr>
              <w:t>三、培训时间</w:t>
            </w:r>
          </w:p>
          <w:p>
            <w:pPr>
              <w:pStyle w:val="null3"/>
              <w:ind w:firstLine="420"/>
              <w:jc w:val="both"/>
            </w:pPr>
            <w:r>
              <w:rPr>
                <w:rFonts w:ascii="仿宋_GB2312" w:hAnsi="仿宋_GB2312" w:cs="仿宋_GB2312" w:eastAsia="仿宋_GB2312"/>
                <w:sz w:val="21"/>
                <w:color w:val="404040"/>
                <w:shd w:fill="FFFFFF" w:val="clear"/>
              </w:rPr>
              <w:t>2025-2026学年度，共</w:t>
            </w:r>
            <w:r>
              <w:rPr>
                <w:rFonts w:ascii="仿宋_GB2312" w:hAnsi="仿宋_GB2312" w:cs="仿宋_GB2312" w:eastAsia="仿宋_GB2312"/>
                <w:sz w:val="21"/>
                <w:color w:val="404040"/>
                <w:shd w:fill="FFFFFF" w:val="clear"/>
              </w:rPr>
              <w:t>4</w:t>
            </w:r>
            <w:r>
              <w:rPr>
                <w:rFonts w:ascii="仿宋_GB2312" w:hAnsi="仿宋_GB2312" w:cs="仿宋_GB2312" w:eastAsia="仿宋_GB2312"/>
                <w:sz w:val="21"/>
                <w:color w:val="404040"/>
                <w:shd w:fill="FFFFFF" w:val="clear"/>
              </w:rPr>
              <w:t>期，</w:t>
            </w:r>
            <w:r>
              <w:rPr>
                <w:rFonts w:ascii="仿宋_GB2312" w:hAnsi="仿宋_GB2312" w:cs="仿宋_GB2312" w:eastAsia="仿宋_GB2312"/>
                <w:sz w:val="21"/>
                <w:color w:val="404040"/>
                <w:shd w:fill="FFFFFF" w:val="clear"/>
              </w:rPr>
              <w:t>每学期按两个阶段进行培训，每个阶段不少于</w:t>
            </w:r>
            <w:r>
              <w:rPr>
                <w:rFonts w:ascii="仿宋_GB2312" w:hAnsi="仿宋_GB2312" w:cs="仿宋_GB2312" w:eastAsia="仿宋_GB2312"/>
                <w:sz w:val="21"/>
                <w:color w:val="404040"/>
                <w:shd w:fill="FFFFFF" w:val="clear"/>
              </w:rPr>
              <w:t>3天</w:t>
            </w:r>
            <w:r>
              <w:rPr>
                <w:rFonts w:ascii="仿宋_GB2312" w:hAnsi="仿宋_GB2312" w:cs="仿宋_GB2312" w:eastAsia="仿宋_GB2312"/>
                <w:sz w:val="21"/>
                <w:color w:val="404040"/>
                <w:shd w:fill="FFFFFF" w:val="clear"/>
              </w:rPr>
              <w:t>。</w:t>
            </w:r>
          </w:p>
          <w:p>
            <w:pPr>
              <w:pStyle w:val="null3"/>
              <w:ind w:firstLine="420"/>
              <w:jc w:val="both"/>
            </w:pPr>
            <w:r>
              <w:rPr>
                <w:rFonts w:ascii="仿宋_GB2312" w:hAnsi="仿宋_GB2312" w:cs="仿宋_GB2312" w:eastAsia="仿宋_GB2312"/>
                <w:sz w:val="21"/>
                <w:color w:val="404040"/>
                <w:shd w:fill="FFFFFF" w:val="clear"/>
              </w:rPr>
              <w:t>第一期：课堂问诊</w:t>
            </w:r>
            <w:r>
              <w:rPr>
                <w:rFonts w:ascii="仿宋_GB2312" w:hAnsi="仿宋_GB2312" w:cs="仿宋_GB2312" w:eastAsia="仿宋_GB2312"/>
                <w:sz w:val="21"/>
                <w:color w:val="404040"/>
                <w:shd w:fill="FFFFFF" w:val="clear"/>
              </w:rPr>
              <w:t>（语文、数学、英语）</w:t>
            </w:r>
            <w:r>
              <w:rPr>
                <w:rFonts w:ascii="仿宋_GB2312" w:hAnsi="仿宋_GB2312" w:cs="仿宋_GB2312" w:eastAsia="仿宋_GB2312"/>
                <w:sz w:val="21"/>
                <w:color w:val="404040"/>
                <w:shd w:fill="FFFFFF" w:val="clear"/>
              </w:rPr>
              <w:t>；</w:t>
            </w:r>
          </w:p>
          <w:p>
            <w:pPr>
              <w:pStyle w:val="null3"/>
              <w:ind w:firstLine="420"/>
              <w:jc w:val="both"/>
            </w:pPr>
            <w:r>
              <w:rPr>
                <w:rFonts w:ascii="仿宋_GB2312" w:hAnsi="仿宋_GB2312" w:cs="仿宋_GB2312" w:eastAsia="仿宋_GB2312"/>
                <w:sz w:val="21"/>
                <w:color w:val="404040"/>
                <w:shd w:fill="FFFFFF" w:val="clear"/>
              </w:rPr>
              <w:t>第二期：课堂问诊</w:t>
            </w:r>
            <w:r>
              <w:rPr>
                <w:rFonts w:ascii="仿宋_GB2312" w:hAnsi="仿宋_GB2312" w:cs="仿宋_GB2312" w:eastAsia="仿宋_GB2312"/>
                <w:sz w:val="21"/>
                <w:color w:val="404040"/>
                <w:shd w:fill="FFFFFF" w:val="clear"/>
              </w:rPr>
              <w:t>（物理、化学、历史、道法）</w:t>
            </w:r>
            <w:r>
              <w:rPr>
                <w:rFonts w:ascii="仿宋_GB2312" w:hAnsi="仿宋_GB2312" w:cs="仿宋_GB2312" w:eastAsia="仿宋_GB2312"/>
                <w:sz w:val="21"/>
                <w:color w:val="404040"/>
                <w:shd w:fill="FFFFFF" w:val="clear"/>
              </w:rPr>
              <w:t>；</w:t>
            </w:r>
          </w:p>
          <w:p>
            <w:pPr>
              <w:pStyle w:val="null3"/>
              <w:ind w:firstLine="420"/>
              <w:jc w:val="both"/>
            </w:pPr>
            <w:r>
              <w:rPr>
                <w:rFonts w:ascii="仿宋_GB2312" w:hAnsi="仿宋_GB2312" w:cs="仿宋_GB2312" w:eastAsia="仿宋_GB2312"/>
                <w:sz w:val="21"/>
                <w:color w:val="404040"/>
                <w:shd w:fill="FFFFFF" w:val="clear"/>
              </w:rPr>
              <w:t>第三期：中考复习备考；</w:t>
            </w:r>
          </w:p>
          <w:p>
            <w:pPr>
              <w:pStyle w:val="null3"/>
              <w:ind w:firstLine="420"/>
              <w:jc w:val="both"/>
            </w:pPr>
            <w:r>
              <w:rPr>
                <w:rFonts w:ascii="仿宋_GB2312" w:hAnsi="仿宋_GB2312" w:cs="仿宋_GB2312" w:eastAsia="仿宋_GB2312"/>
                <w:sz w:val="21"/>
                <w:color w:val="404040"/>
                <w:shd w:fill="FFFFFF" w:val="clear"/>
              </w:rPr>
              <w:t>第</w:t>
            </w:r>
            <w:r>
              <w:rPr>
                <w:rFonts w:ascii="仿宋_GB2312" w:hAnsi="仿宋_GB2312" w:cs="仿宋_GB2312" w:eastAsia="仿宋_GB2312"/>
                <w:sz w:val="21"/>
                <w:color w:val="404040"/>
                <w:shd w:fill="FFFFFF" w:val="clear"/>
              </w:rPr>
              <w:t>四</w:t>
            </w:r>
            <w:r>
              <w:rPr>
                <w:rFonts w:ascii="仿宋_GB2312" w:hAnsi="仿宋_GB2312" w:cs="仿宋_GB2312" w:eastAsia="仿宋_GB2312"/>
                <w:sz w:val="21"/>
                <w:color w:val="404040"/>
                <w:shd w:fill="FFFFFF" w:val="clear"/>
              </w:rPr>
              <w:t>期：教学能力提升。</w:t>
            </w:r>
          </w:p>
          <w:p>
            <w:pPr>
              <w:pStyle w:val="null3"/>
              <w:spacing w:before="255" w:after="255"/>
              <w:jc w:val="both"/>
              <w:outlineLvl w:val="1"/>
            </w:pPr>
            <w:r>
              <w:rPr>
                <w:rFonts w:ascii="仿宋_GB2312" w:hAnsi="仿宋_GB2312" w:cs="仿宋_GB2312" w:eastAsia="仿宋_GB2312"/>
                <w:sz w:val="21"/>
                <w:b/>
              </w:rPr>
              <w:t>四、培训内容及形式</w:t>
            </w:r>
          </w:p>
          <w:p>
            <w:pPr>
              <w:pStyle w:val="null3"/>
              <w:ind w:firstLine="422"/>
              <w:jc w:val="both"/>
            </w:pPr>
            <w:r>
              <w:rPr>
                <w:rFonts w:ascii="仿宋_GB2312" w:hAnsi="仿宋_GB2312" w:cs="仿宋_GB2312" w:eastAsia="仿宋_GB2312"/>
                <w:sz w:val="21"/>
                <w:b/>
                <w:color w:val="404040"/>
                <w:shd w:fill="FFFFFF" w:val="clear"/>
              </w:rPr>
              <w:t>1.现场观摩+集中研讨</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color w:val="404040"/>
                <w:shd w:fill="FFFFFF" w:val="clear"/>
              </w:rPr>
              <w:t>邀请骨干教师展示聚焦课堂互动设计、重难点突破等特定教学问题的优质课例，参训教师运用课堂观察量表进行量化打分，围绕教学目标达成度、学生参与度等核心维度开展深度研讨，精准剖析课堂优势与改进空间。</w:t>
            </w:r>
          </w:p>
          <w:p>
            <w:pPr>
              <w:pStyle w:val="null3"/>
              <w:ind w:firstLine="420"/>
              <w:jc w:val="both"/>
            </w:pPr>
            <w:r>
              <w:rPr>
                <w:rFonts w:ascii="仿宋_GB2312" w:hAnsi="仿宋_GB2312" w:cs="仿宋_GB2312" w:eastAsia="仿宋_GB2312"/>
                <w:sz w:val="21"/>
                <w:b/>
                <w:color w:val="404040"/>
                <w:shd w:fill="FFFFFF" w:val="clear"/>
              </w:rPr>
              <w:t>2.</w:t>
            </w:r>
            <w:r>
              <w:rPr>
                <w:rFonts w:ascii="仿宋_GB2312" w:hAnsi="仿宋_GB2312" w:cs="仿宋_GB2312" w:eastAsia="仿宋_GB2312"/>
                <w:sz w:val="21"/>
                <w:b/>
                <w:color w:val="404040"/>
                <w:shd w:fill="FFFFFF" w:val="clear"/>
              </w:rPr>
              <w:t>主题式课例研修</w:t>
            </w:r>
            <w:r>
              <w:rPr>
                <w:rFonts w:ascii="仿宋_GB2312" w:hAnsi="仿宋_GB2312" w:cs="仿宋_GB2312" w:eastAsia="仿宋_GB2312"/>
                <w:sz w:val="21"/>
                <w:b/>
                <w:color w:val="404040"/>
                <w:shd w:fill="FFFFFF" w:val="clear"/>
              </w:rPr>
              <w:t xml:space="preserve">  </w:t>
            </w:r>
          </w:p>
          <w:p>
            <w:pPr>
              <w:pStyle w:val="null3"/>
              <w:ind w:firstLine="420"/>
              <w:jc w:val="both"/>
            </w:pPr>
            <w:r>
              <w:rPr>
                <w:rFonts w:ascii="仿宋_GB2312" w:hAnsi="仿宋_GB2312" w:cs="仿宋_GB2312" w:eastAsia="仿宋_GB2312"/>
                <w:sz w:val="21"/>
                <w:color w:val="404040"/>
                <w:shd w:fill="FFFFFF" w:val="clear"/>
              </w:rPr>
              <w:t>针对分层教学实施等共性教学问题，展示不同教师的课例片段并进行对比分析，提炼优化策略；参训教师分组重构教学设计，完成二次展示后接受专家针对性点评，通过多轮磨课迭代完善教学方案。</w:t>
            </w:r>
          </w:p>
          <w:p>
            <w:pPr>
              <w:pStyle w:val="null3"/>
              <w:ind w:firstLine="420"/>
              <w:jc w:val="both"/>
            </w:pPr>
            <w:r>
              <w:rPr>
                <w:rFonts w:ascii="仿宋_GB2312" w:hAnsi="仿宋_GB2312" w:cs="仿宋_GB2312" w:eastAsia="仿宋_GB2312"/>
                <w:sz w:val="21"/>
                <w:b/>
                <w:color w:val="404040"/>
                <w:shd w:fill="FFFFFF" w:val="clear"/>
              </w:rPr>
              <w:t>3.</w:t>
            </w:r>
            <w:r>
              <w:rPr>
                <w:rFonts w:ascii="仿宋_GB2312" w:hAnsi="仿宋_GB2312" w:cs="仿宋_GB2312" w:eastAsia="仿宋_GB2312"/>
                <w:sz w:val="21"/>
                <w:b/>
                <w:color w:val="404040"/>
                <w:shd w:fill="FFFFFF" w:val="clear"/>
              </w:rPr>
              <w:t>专家引领</w:t>
            </w:r>
            <w:r>
              <w:rPr>
                <w:rFonts w:ascii="仿宋_GB2312" w:hAnsi="仿宋_GB2312" w:cs="仿宋_GB2312" w:eastAsia="仿宋_GB2312"/>
                <w:sz w:val="21"/>
                <w:b/>
                <w:color w:val="404040"/>
                <w:shd w:fill="FFFFFF" w:val="clear"/>
              </w:rPr>
              <w:t>+精准诊断</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color w:val="404040"/>
                <w:shd w:fill="FFFFFF" w:val="clear"/>
              </w:rPr>
              <w:t>专家深入参训教师课堂进行实时观察记录，课后出具包含教学行为分析、问题定位及改进建议的个性化报告；结合典型问诊案例开展专题讲座，解析课堂问题本质，提供可落地的教学优化方案。</w:t>
            </w:r>
          </w:p>
          <w:p>
            <w:pPr>
              <w:pStyle w:val="null3"/>
              <w:ind w:firstLine="420"/>
              <w:jc w:val="both"/>
            </w:pPr>
            <w:r>
              <w:rPr>
                <w:rFonts w:ascii="仿宋_GB2312" w:hAnsi="仿宋_GB2312" w:cs="仿宋_GB2312" w:eastAsia="仿宋_GB2312"/>
                <w:sz w:val="21"/>
                <w:b/>
                <w:color w:val="404040"/>
                <w:shd w:fill="FFFFFF" w:val="clear"/>
              </w:rPr>
              <w:t>4.</w:t>
            </w:r>
            <w:r>
              <w:rPr>
                <w:rFonts w:ascii="仿宋_GB2312" w:hAnsi="仿宋_GB2312" w:cs="仿宋_GB2312" w:eastAsia="仿宋_GB2312"/>
                <w:sz w:val="21"/>
                <w:b/>
                <w:color w:val="404040"/>
                <w:shd w:fill="FFFFFF" w:val="clear"/>
              </w:rPr>
              <w:t>总结提升</w:t>
            </w:r>
            <w:r>
              <w:rPr>
                <w:rFonts w:ascii="仿宋_GB2312" w:hAnsi="仿宋_GB2312" w:cs="仿宋_GB2312" w:eastAsia="仿宋_GB2312"/>
                <w:sz w:val="21"/>
                <w:b/>
                <w:color w:val="404040"/>
                <w:shd w:fill="FFFFFF" w:val="clear"/>
              </w:rPr>
              <w:t xml:space="preserve">+成果输出  </w:t>
            </w:r>
          </w:p>
          <w:p>
            <w:pPr>
              <w:pStyle w:val="null3"/>
              <w:ind w:firstLine="420"/>
              <w:jc w:val="both"/>
            </w:pPr>
            <w:r>
              <w:rPr>
                <w:rFonts w:ascii="仿宋_GB2312" w:hAnsi="仿宋_GB2312" w:cs="仿宋_GB2312" w:eastAsia="仿宋_GB2312"/>
                <w:sz w:val="21"/>
                <w:color w:val="404040"/>
                <w:shd w:fill="FFFFFF" w:val="clear"/>
              </w:rPr>
              <w:t>组织各小组集中展示培训期间的诊断成果、备考优化方案及学习心得，专家对各组汇报进行点评并系统回顾培训核心内容，梳理政策要点、诊断方法及备考策略；引导参训教师结合培训内容制定本校及个人后续备考提升行动计划，最终汇编优秀诊断报告、备考方案及资源包发放给参训教师，实现培训成果的固化与应用。</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标的名称：学生心理健康管理评价服务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405"/>
              <w:jc w:val="left"/>
              <w:outlineLvl w:val="1"/>
            </w:pPr>
            <w:r>
              <w:rPr>
                <w:rFonts w:ascii="仿宋_GB2312" w:hAnsi="仿宋_GB2312" w:cs="仿宋_GB2312" w:eastAsia="仿宋_GB2312"/>
                <w:sz w:val="21"/>
                <w:b/>
                <w:color w:val="000000"/>
              </w:rPr>
              <w:t>一、项目概述</w:t>
            </w:r>
          </w:p>
          <w:p>
            <w:pPr>
              <w:pStyle w:val="null3"/>
              <w:spacing w:after="150"/>
              <w:ind w:firstLine="420"/>
              <w:jc w:val="both"/>
            </w:pPr>
            <w:r>
              <w:rPr>
                <w:rFonts w:ascii="仿宋_GB2312" w:hAnsi="仿宋_GB2312" w:cs="仿宋_GB2312" w:eastAsia="仿宋_GB2312"/>
                <w:sz w:val="21"/>
                <w:color w:val="000000"/>
              </w:rPr>
              <w:t>为提升我校心理健康教育质量，完善心理教师专业发展体系，现需采购第三方心理教师教学指导及评价服务。服务内容包括但不限于心理课程教学指导、心理教师专业能力评估、</w:t>
            </w:r>
            <w:r>
              <w:rPr>
                <w:rFonts w:ascii="仿宋_GB2312" w:hAnsi="仿宋_GB2312" w:cs="仿宋_GB2312" w:eastAsia="仿宋_GB2312"/>
                <w:sz w:val="21"/>
                <w:color w:val="000000"/>
              </w:rPr>
              <w:t>师生</w:t>
            </w:r>
            <w:r>
              <w:rPr>
                <w:rFonts w:ascii="仿宋_GB2312" w:hAnsi="仿宋_GB2312" w:cs="仿宋_GB2312" w:eastAsia="仿宋_GB2312"/>
                <w:sz w:val="21"/>
                <w:color w:val="000000"/>
              </w:rPr>
              <w:t>心理健康活动设计与实施指导等。</w:t>
            </w:r>
          </w:p>
          <w:p>
            <w:pPr>
              <w:pStyle w:val="null3"/>
              <w:spacing w:after="150"/>
              <w:ind w:firstLine="420"/>
              <w:jc w:val="both"/>
            </w:pPr>
            <w:r>
              <w:rPr>
                <w:rFonts w:ascii="仿宋_GB2312" w:hAnsi="仿宋_GB2312" w:cs="仿宋_GB2312" w:eastAsia="仿宋_GB2312"/>
                <w:sz w:val="21"/>
                <w:color w:val="000000"/>
              </w:rPr>
              <w:t>本项目旨在通过专业第三方机构的指导与评价，促进心理教师专业成长，提高心理健康教育实效性，为全校师生提供更优质的心理健康服务。</w:t>
            </w:r>
          </w:p>
          <w:p>
            <w:pPr>
              <w:pStyle w:val="null3"/>
              <w:spacing w:before="105" w:after="405"/>
              <w:jc w:val="left"/>
              <w:outlineLvl w:val="1"/>
            </w:pPr>
            <w:r>
              <w:rPr>
                <w:rFonts w:ascii="仿宋_GB2312" w:hAnsi="仿宋_GB2312" w:cs="仿宋_GB2312" w:eastAsia="仿宋_GB2312"/>
                <w:sz w:val="21"/>
                <w:b/>
                <w:color w:val="000000"/>
              </w:rPr>
              <w:t>二、服务内容与要求</w:t>
            </w:r>
          </w:p>
          <w:p>
            <w:pPr>
              <w:pStyle w:val="null3"/>
              <w:spacing w:before="105" w:after="405"/>
              <w:jc w:val="left"/>
              <w:outlineLvl w:val="1"/>
            </w:pPr>
            <w:r>
              <w:rPr>
                <w:rFonts w:ascii="仿宋_GB2312" w:hAnsi="仿宋_GB2312" w:cs="仿宋_GB2312" w:eastAsia="仿宋_GB2312"/>
                <w:sz w:val="21"/>
                <w:b/>
                <w:color w:val="000000"/>
              </w:rPr>
              <w:t>（一）心理教师教学指导</w:t>
            </w:r>
          </w:p>
          <w:p>
            <w:pPr>
              <w:pStyle w:val="null3"/>
              <w:spacing w:after="150"/>
              <w:ind w:firstLine="420"/>
              <w:jc w:val="both"/>
            </w:pPr>
            <w:r>
              <w:rPr>
                <w:rFonts w:ascii="仿宋_GB2312" w:hAnsi="仿宋_GB2312" w:cs="仿宋_GB2312" w:eastAsia="仿宋_GB2312"/>
                <w:sz w:val="21"/>
                <w:color w:val="000000"/>
              </w:rPr>
              <w:t>1. 提供心理课程教学设计指导，每学期不少于4次集体指导活动；</w:t>
            </w:r>
          </w:p>
          <w:p>
            <w:pPr>
              <w:pStyle w:val="null3"/>
              <w:spacing w:after="150"/>
              <w:ind w:firstLine="420"/>
              <w:jc w:val="both"/>
            </w:pPr>
            <w:r>
              <w:rPr>
                <w:rFonts w:ascii="仿宋_GB2312" w:hAnsi="仿宋_GB2312" w:cs="仿宋_GB2312" w:eastAsia="仿宋_GB2312"/>
                <w:sz w:val="21"/>
                <w:color w:val="000000"/>
              </w:rPr>
              <w:t>2. 开展心理课堂教学观摩与点评，每学期覆盖全体心理教师；</w:t>
            </w:r>
          </w:p>
          <w:p>
            <w:pPr>
              <w:pStyle w:val="null3"/>
              <w:spacing w:after="150"/>
              <w:ind w:firstLine="420"/>
              <w:jc w:val="both"/>
            </w:pPr>
            <w:r>
              <w:rPr>
                <w:rFonts w:ascii="仿宋_GB2312" w:hAnsi="仿宋_GB2312" w:cs="仿宋_GB2312" w:eastAsia="仿宋_GB2312"/>
                <w:sz w:val="21"/>
                <w:color w:val="000000"/>
              </w:rPr>
              <w:t>3. 组织心理教学案例研讨与分析，每学期不少于2次专题研讨；</w:t>
            </w:r>
          </w:p>
          <w:p>
            <w:pPr>
              <w:pStyle w:val="null3"/>
              <w:spacing w:after="150"/>
              <w:ind w:firstLine="420"/>
              <w:jc w:val="both"/>
            </w:pPr>
            <w:r>
              <w:rPr>
                <w:rFonts w:ascii="仿宋_GB2312" w:hAnsi="仿宋_GB2312" w:cs="仿宋_GB2312" w:eastAsia="仿宋_GB2312"/>
                <w:sz w:val="21"/>
                <w:color w:val="000000"/>
              </w:rPr>
              <w:t>4. 提供个性化教学改进建议，针对每位心理教师形成专业发展指导方案。</w:t>
            </w:r>
          </w:p>
          <w:p>
            <w:pPr>
              <w:pStyle w:val="null3"/>
              <w:spacing w:before="105" w:after="405"/>
              <w:jc w:val="left"/>
              <w:outlineLvl w:val="1"/>
            </w:pPr>
            <w:r>
              <w:rPr>
                <w:rFonts w:ascii="仿宋_GB2312" w:hAnsi="仿宋_GB2312" w:cs="仿宋_GB2312" w:eastAsia="仿宋_GB2312"/>
                <w:sz w:val="21"/>
                <w:b/>
                <w:color w:val="000000"/>
              </w:rPr>
              <w:t>（二）心理教师专业能力评价</w:t>
            </w:r>
          </w:p>
          <w:p>
            <w:pPr>
              <w:pStyle w:val="null3"/>
              <w:spacing w:after="150"/>
              <w:ind w:firstLine="420"/>
              <w:jc w:val="both"/>
            </w:pPr>
            <w:r>
              <w:rPr>
                <w:rFonts w:ascii="仿宋_GB2312" w:hAnsi="仿宋_GB2312" w:cs="仿宋_GB2312" w:eastAsia="仿宋_GB2312"/>
                <w:sz w:val="21"/>
                <w:color w:val="000000"/>
              </w:rPr>
              <w:t>1. 建立心理教师专业能力评价体系，涵盖专业知识、教学技能、辅导能力等维度；</w:t>
            </w:r>
          </w:p>
          <w:p>
            <w:pPr>
              <w:pStyle w:val="null3"/>
              <w:spacing w:after="150"/>
              <w:ind w:firstLine="420"/>
              <w:jc w:val="both"/>
            </w:pPr>
            <w:r>
              <w:rPr>
                <w:rFonts w:ascii="仿宋_GB2312" w:hAnsi="仿宋_GB2312" w:cs="仿宋_GB2312" w:eastAsia="仿宋_GB2312"/>
                <w:sz w:val="21"/>
                <w:color w:val="000000"/>
              </w:rPr>
              <w:t>2. 每学期开展1次综合性能力评估，形成个人与团体评估报告；</w:t>
            </w:r>
          </w:p>
          <w:p>
            <w:pPr>
              <w:pStyle w:val="null3"/>
              <w:spacing w:after="150"/>
              <w:ind w:firstLine="420"/>
              <w:jc w:val="both"/>
            </w:pPr>
            <w:r>
              <w:rPr>
                <w:rFonts w:ascii="仿宋_GB2312" w:hAnsi="仿宋_GB2312" w:cs="仿宋_GB2312" w:eastAsia="仿宋_GB2312"/>
                <w:sz w:val="21"/>
                <w:color w:val="000000"/>
              </w:rPr>
              <w:t>3. 提供评价结果反馈与解读，指导心理教师专业发展方向；</w:t>
            </w:r>
          </w:p>
          <w:p>
            <w:pPr>
              <w:pStyle w:val="null3"/>
              <w:spacing w:after="150"/>
              <w:ind w:firstLine="420"/>
              <w:jc w:val="both"/>
            </w:pPr>
            <w:r>
              <w:rPr>
                <w:rFonts w:ascii="仿宋_GB2312" w:hAnsi="仿宋_GB2312" w:cs="仿宋_GB2312" w:eastAsia="仿宋_GB2312"/>
                <w:sz w:val="21"/>
                <w:color w:val="000000"/>
              </w:rPr>
              <w:t>4. 跟踪评价效果，定期调整优化评价指标体系。</w:t>
            </w:r>
          </w:p>
          <w:p>
            <w:pPr>
              <w:pStyle w:val="null3"/>
              <w:spacing w:before="105" w:after="405"/>
              <w:jc w:val="left"/>
              <w:outlineLvl w:val="1"/>
            </w:pPr>
            <w:r>
              <w:rPr>
                <w:rFonts w:ascii="仿宋_GB2312" w:hAnsi="仿宋_GB2312" w:cs="仿宋_GB2312" w:eastAsia="仿宋_GB2312"/>
                <w:sz w:val="21"/>
                <w:b/>
                <w:color w:val="000000"/>
              </w:rPr>
              <w:t>（三）心理健康指导活动实施</w:t>
            </w:r>
          </w:p>
          <w:p>
            <w:pPr>
              <w:pStyle w:val="null3"/>
              <w:spacing w:after="150"/>
              <w:ind w:firstLine="420"/>
              <w:jc w:val="both"/>
            </w:pPr>
            <w:r>
              <w:rPr>
                <w:rFonts w:ascii="仿宋_GB2312" w:hAnsi="仿宋_GB2312" w:cs="仿宋_GB2312" w:eastAsia="仿宋_GB2312"/>
                <w:sz w:val="21"/>
                <w:color w:val="000000"/>
              </w:rPr>
              <w:t>1. 指导设计并实施全校性心理健康主题活动，每学期不少于2次；</w:t>
            </w:r>
          </w:p>
          <w:p>
            <w:pPr>
              <w:pStyle w:val="null3"/>
              <w:spacing w:after="150"/>
              <w:ind w:firstLine="420"/>
              <w:jc w:val="both"/>
            </w:pPr>
            <w:r>
              <w:rPr>
                <w:rFonts w:ascii="仿宋_GB2312" w:hAnsi="仿宋_GB2312" w:cs="仿宋_GB2312" w:eastAsia="仿宋_GB2312"/>
                <w:sz w:val="21"/>
                <w:color w:val="000000"/>
              </w:rPr>
              <w:t>2. 协助开展心理健康教育专题讲座，每学期不少于3场；</w:t>
            </w:r>
          </w:p>
          <w:p>
            <w:pPr>
              <w:pStyle w:val="null3"/>
              <w:spacing w:after="150"/>
              <w:ind w:firstLine="420"/>
              <w:jc w:val="both"/>
            </w:pPr>
            <w:r>
              <w:rPr>
                <w:rFonts w:ascii="仿宋_GB2312" w:hAnsi="仿宋_GB2312" w:cs="仿宋_GB2312" w:eastAsia="仿宋_GB2312"/>
                <w:sz w:val="21"/>
                <w:color w:val="000000"/>
              </w:rPr>
              <w:t>3. 指导心理社团活动，提供专业支持与督导；</w:t>
            </w:r>
          </w:p>
          <w:p>
            <w:pPr>
              <w:pStyle w:val="null3"/>
              <w:spacing w:after="150"/>
              <w:ind w:firstLine="420"/>
              <w:jc w:val="both"/>
            </w:pPr>
            <w:r>
              <w:rPr>
                <w:rFonts w:ascii="仿宋_GB2312" w:hAnsi="仿宋_GB2312" w:cs="仿宋_GB2312" w:eastAsia="仿宋_GB2312"/>
                <w:sz w:val="21"/>
                <w:color w:val="000000"/>
              </w:rPr>
              <w:t>4. 协助建立心理健康教育成果展示与交流平台。</w:t>
            </w:r>
          </w:p>
          <w:p>
            <w:pPr>
              <w:pStyle w:val="null3"/>
              <w:spacing w:before="105" w:after="405"/>
              <w:jc w:val="left"/>
              <w:outlineLvl w:val="1"/>
            </w:pPr>
            <w:r>
              <w:rPr>
                <w:rFonts w:ascii="仿宋_GB2312" w:hAnsi="仿宋_GB2312" w:cs="仿宋_GB2312" w:eastAsia="仿宋_GB2312"/>
                <w:sz w:val="21"/>
                <w:b/>
                <w:color w:val="000000"/>
              </w:rPr>
              <w:t>三、服务团队要求</w:t>
            </w:r>
          </w:p>
          <w:p>
            <w:pPr>
              <w:pStyle w:val="null3"/>
              <w:spacing w:after="150"/>
              <w:ind w:firstLine="420"/>
              <w:jc w:val="both"/>
            </w:pPr>
            <w:r>
              <w:rPr>
                <w:rFonts w:ascii="仿宋_GB2312" w:hAnsi="仿宋_GB2312" w:cs="仿宋_GB2312" w:eastAsia="仿宋_GB2312"/>
                <w:sz w:val="21"/>
                <w:color w:val="000000"/>
              </w:rPr>
              <w:t>1. 项目负责人需具备心理学相关专业高级职称或国家二级心理咨询师资格，且具有5年以上心理健康教育指导经验；</w:t>
            </w:r>
          </w:p>
          <w:p>
            <w:pPr>
              <w:pStyle w:val="null3"/>
              <w:spacing w:after="150"/>
              <w:ind w:firstLine="420"/>
              <w:jc w:val="both"/>
            </w:pPr>
            <w:r>
              <w:rPr>
                <w:rFonts w:ascii="仿宋_GB2312" w:hAnsi="仿宋_GB2312" w:cs="仿宋_GB2312" w:eastAsia="仿宋_GB2312"/>
                <w:sz w:val="21"/>
                <w:color w:val="000000"/>
              </w:rPr>
              <w:t>2. 核心指导团队中，具备心理学硕士及以上学历人员比例不低于60%；</w:t>
            </w:r>
          </w:p>
          <w:p>
            <w:pPr>
              <w:pStyle w:val="null3"/>
              <w:spacing w:after="150"/>
              <w:ind w:firstLine="420"/>
              <w:jc w:val="both"/>
            </w:pPr>
            <w:r>
              <w:rPr>
                <w:rFonts w:ascii="仿宋_GB2312" w:hAnsi="仿宋_GB2312" w:cs="仿宋_GB2312" w:eastAsia="仿宋_GB2312"/>
                <w:sz w:val="21"/>
                <w:color w:val="000000"/>
              </w:rPr>
              <w:t>3. 团队中需包含至少2名具有中小学心理健康教育实践经验的心理健康教育专家；</w:t>
            </w:r>
          </w:p>
          <w:p>
            <w:pPr>
              <w:pStyle w:val="null3"/>
              <w:spacing w:after="150"/>
              <w:ind w:firstLine="420"/>
              <w:jc w:val="both"/>
            </w:pPr>
            <w:r>
              <w:rPr>
                <w:rFonts w:ascii="仿宋_GB2312" w:hAnsi="仿宋_GB2312" w:cs="仿宋_GB2312" w:eastAsia="仿宋_GB2312"/>
                <w:sz w:val="21"/>
                <w:color w:val="000000"/>
              </w:rPr>
              <w:t>4. 服务团队需稳定，主要成员在服务期内变动率不超过20%。</w:t>
            </w:r>
          </w:p>
          <w:p>
            <w:pPr>
              <w:pStyle w:val="null3"/>
              <w:spacing w:before="105" w:after="405"/>
              <w:jc w:val="left"/>
              <w:outlineLvl w:val="1"/>
            </w:pPr>
            <w:r>
              <w:rPr>
                <w:rFonts w:ascii="仿宋_GB2312" w:hAnsi="仿宋_GB2312" w:cs="仿宋_GB2312" w:eastAsia="仿宋_GB2312"/>
                <w:sz w:val="21"/>
                <w:b/>
                <w:color w:val="000000"/>
              </w:rPr>
              <w:t>四、服务周期与频次</w:t>
            </w:r>
          </w:p>
          <w:p>
            <w:pPr>
              <w:pStyle w:val="null3"/>
              <w:spacing w:after="150"/>
              <w:ind w:firstLine="420"/>
              <w:jc w:val="both"/>
            </w:pPr>
            <w:r>
              <w:rPr>
                <w:rFonts w:ascii="仿宋_GB2312" w:hAnsi="仿宋_GB2312" w:cs="仿宋_GB2312" w:eastAsia="仿宋_GB2312"/>
                <w:sz w:val="21"/>
                <w:color w:val="000000"/>
              </w:rPr>
              <w:t>1. 服务周期为一学年，具体时间以合同签订为准；</w:t>
            </w:r>
          </w:p>
          <w:p>
            <w:pPr>
              <w:pStyle w:val="null3"/>
              <w:spacing w:after="150"/>
              <w:ind w:firstLine="420"/>
              <w:jc w:val="both"/>
            </w:pPr>
            <w:r>
              <w:rPr>
                <w:rFonts w:ascii="仿宋_GB2312" w:hAnsi="仿宋_GB2312" w:cs="仿宋_GB2312" w:eastAsia="仿宋_GB2312"/>
                <w:sz w:val="21"/>
                <w:color w:val="000000"/>
              </w:rPr>
              <w:t>2. 每月到校指导不少于2次，每次不少于3小时；</w:t>
            </w:r>
          </w:p>
          <w:p>
            <w:pPr>
              <w:pStyle w:val="null3"/>
              <w:spacing w:after="150"/>
              <w:ind w:firstLine="420"/>
              <w:jc w:val="both"/>
            </w:pPr>
            <w:r>
              <w:rPr>
                <w:rFonts w:ascii="仿宋_GB2312" w:hAnsi="仿宋_GB2312" w:cs="仿宋_GB2312" w:eastAsia="仿宋_GB2312"/>
                <w:sz w:val="21"/>
                <w:color w:val="000000"/>
              </w:rPr>
              <w:t>3. 紧急需求响应时间不超过48小时；</w:t>
            </w:r>
          </w:p>
          <w:p>
            <w:pPr>
              <w:pStyle w:val="null3"/>
              <w:spacing w:after="150"/>
              <w:ind w:firstLine="420"/>
              <w:jc w:val="both"/>
            </w:pPr>
            <w:r>
              <w:rPr>
                <w:rFonts w:ascii="仿宋_GB2312" w:hAnsi="仿宋_GB2312" w:cs="仿宋_GB2312" w:eastAsia="仿宋_GB2312"/>
                <w:sz w:val="21"/>
                <w:color w:val="000000"/>
              </w:rPr>
              <w:t>4. 学期末需提供学期服务总结报告，学年末提供学年服务评估报告。</w:t>
            </w:r>
          </w:p>
          <w:p>
            <w:pPr>
              <w:pStyle w:val="null3"/>
              <w:spacing w:before="105" w:after="405"/>
              <w:jc w:val="left"/>
              <w:outlineLvl w:val="1"/>
            </w:pPr>
            <w:r>
              <w:rPr>
                <w:rFonts w:ascii="仿宋_GB2312" w:hAnsi="仿宋_GB2312" w:cs="仿宋_GB2312" w:eastAsia="仿宋_GB2312"/>
                <w:sz w:val="21"/>
                <w:b/>
                <w:color w:val="000000"/>
              </w:rPr>
              <w:t>五、成果交付要求</w:t>
            </w:r>
          </w:p>
          <w:p>
            <w:pPr>
              <w:pStyle w:val="null3"/>
              <w:spacing w:after="150"/>
              <w:ind w:firstLine="420"/>
              <w:jc w:val="both"/>
            </w:pPr>
            <w:r>
              <w:rPr>
                <w:rFonts w:ascii="仿宋_GB2312" w:hAnsi="仿宋_GB2312" w:cs="仿宋_GB2312" w:eastAsia="仿宋_GB2312"/>
                <w:sz w:val="21"/>
                <w:color w:val="000000"/>
              </w:rPr>
              <w:t>1. 提供个性化的心理教师专业发展指导方案；</w:t>
            </w:r>
          </w:p>
          <w:p>
            <w:pPr>
              <w:pStyle w:val="null3"/>
              <w:spacing w:after="150"/>
              <w:ind w:firstLine="420"/>
              <w:jc w:val="both"/>
            </w:pPr>
            <w:r>
              <w:rPr>
                <w:rFonts w:ascii="仿宋_GB2312" w:hAnsi="仿宋_GB2312" w:cs="仿宋_GB2312" w:eastAsia="仿宋_GB2312"/>
                <w:sz w:val="21"/>
                <w:color w:val="000000"/>
              </w:rPr>
              <w:t>2. 每学期提交心理教师能力评估报告；</w:t>
            </w:r>
          </w:p>
          <w:p>
            <w:pPr>
              <w:pStyle w:val="null3"/>
              <w:spacing w:after="150"/>
              <w:ind w:firstLine="420"/>
              <w:jc w:val="both"/>
            </w:pPr>
            <w:r>
              <w:rPr>
                <w:rFonts w:ascii="仿宋_GB2312" w:hAnsi="仿宋_GB2312" w:cs="仿宋_GB2312" w:eastAsia="仿宋_GB2312"/>
                <w:sz w:val="21"/>
                <w:color w:val="000000"/>
              </w:rPr>
              <w:t>3. 提供心理健康活动实施方案与效果评估报告；</w:t>
            </w:r>
          </w:p>
          <w:p>
            <w:pPr>
              <w:pStyle w:val="null3"/>
              <w:spacing w:after="150"/>
              <w:ind w:firstLine="420"/>
              <w:jc w:val="both"/>
            </w:pPr>
            <w:r>
              <w:rPr>
                <w:rFonts w:ascii="仿宋_GB2312" w:hAnsi="仿宋_GB2312" w:cs="仿宋_GB2312" w:eastAsia="仿宋_GB2312"/>
                <w:sz w:val="21"/>
                <w:color w:val="000000"/>
              </w:rPr>
              <w:t>4. 学年服务结束后，提交综合性成果报告，包含服务成效、问题分析与改进建议。</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标的名称：提升校园文化建设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采购内容及要求</w:t>
            </w:r>
          </w:p>
          <w:tbl>
            <w:tblPr>
              <w:tblBorders>
                <w:top w:val="none" w:color="000000" w:sz="4"/>
                <w:left w:val="none" w:color="000000" w:sz="4"/>
                <w:bottom w:val="none" w:color="000000" w:sz="4"/>
                <w:right w:val="none" w:color="000000" w:sz="4"/>
                <w:insideH w:val="none"/>
                <w:insideV w:val="none"/>
              </w:tblBorders>
            </w:tblPr>
            <w:tblGrid>
              <w:gridCol w:w="158"/>
              <w:gridCol w:w="346"/>
              <w:gridCol w:w="362"/>
              <w:gridCol w:w="662"/>
              <w:gridCol w:w="149"/>
              <w:gridCol w:w="167"/>
              <w:gridCol w:w="683"/>
            </w:tblGrid>
            <w:tr>
              <w:tc>
                <w:tcPr>
                  <w:tcW w:type="dxa" w:w="15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7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升级区域</w:t>
                  </w:r>
                </w:p>
              </w:tc>
              <w:tc>
                <w:tcPr>
                  <w:tcW w:type="dxa" w:w="66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项目要求</w:t>
                  </w:r>
                </w:p>
              </w:tc>
              <w:tc>
                <w:tcPr>
                  <w:tcW w:type="dxa" w:w="14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6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68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材质及安装工艺要求</w:t>
                  </w:r>
                </w:p>
              </w:tc>
            </w:tr>
            <w:tr>
              <w:tc>
                <w:tcPr>
                  <w:tcW w:type="dxa" w:w="158"/>
                  <w:vMerge/>
                  <w:tcBorders>
                    <w:top w:val="single" w:color="000000" w:sz="4"/>
                    <w:left w:val="singl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位置</w:t>
                  </w:r>
                </w:p>
              </w:tc>
              <w:tc>
                <w:tcPr>
                  <w:tcW w:type="dxa" w:w="662"/>
                  <w:vMerge/>
                  <w:tcBorders>
                    <w:top w:val="single" w:color="000000" w:sz="4"/>
                    <w:left w:val="none" w:color="000000" w:sz="4"/>
                    <w:bottom w:val="single" w:color="000000" w:sz="4"/>
                    <w:right w:val="single" w:color="000000" w:sz="4"/>
                  </w:tcBorders>
                </w:tcPr>
                <w:p/>
              </w:tc>
              <w:tc>
                <w:tcPr>
                  <w:tcW w:type="dxa" w:w="149"/>
                  <w:vMerge/>
                  <w:tcBorders>
                    <w:top w:val="single" w:color="000000" w:sz="4"/>
                    <w:left w:val="none" w:color="000000" w:sz="4"/>
                    <w:bottom w:val="single" w:color="000000" w:sz="4"/>
                    <w:right w:val="single" w:color="000000" w:sz="4"/>
                  </w:tcBorders>
                </w:tcPr>
                <w:p/>
              </w:tc>
              <w:tc>
                <w:tcPr>
                  <w:tcW w:type="dxa" w:w="167"/>
                  <w:vMerge/>
                  <w:tcBorders>
                    <w:top w:val="single" w:color="000000" w:sz="4"/>
                    <w:left w:val="none" w:color="000000" w:sz="4"/>
                    <w:bottom w:val="single" w:color="000000" w:sz="4"/>
                    <w:right w:val="single" w:color="000000" w:sz="4"/>
                  </w:tcBorders>
                </w:tcPr>
                <w:p/>
              </w:tc>
              <w:tc>
                <w:tcPr>
                  <w:tcW w:type="dxa" w:w="683"/>
                  <w:vMerge/>
                  <w:tcBorders>
                    <w:top w:val="single" w:color="000000" w:sz="4"/>
                    <w:left w:val="none" w:color="000000" w:sz="4"/>
                    <w:bottom w:val="singl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宣传片制作</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以西安市城南中学校园文化建设成果及教育教学成效为核心主线进行制作</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楼顶发光字</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学校正门</w:t>
                  </w:r>
                </w:p>
                <w:p>
                  <w:pPr>
                    <w:pStyle w:val="null3"/>
                    <w:jc w:val="center"/>
                  </w:pPr>
                  <w:r>
                    <w:rPr>
                      <w:rFonts w:ascii="仿宋_GB2312" w:hAnsi="仿宋_GB2312" w:cs="仿宋_GB2312" w:eastAsia="仿宋_GB2312"/>
                      <w:sz w:val="21"/>
                    </w:rPr>
                    <w:t>教学楼楼顶</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学校</w:t>
                  </w:r>
                  <w:r>
                    <w:rPr>
                      <w:rFonts w:ascii="仿宋_GB2312" w:hAnsi="仿宋_GB2312" w:cs="仿宋_GB2312" w:eastAsia="仿宋_GB2312"/>
                      <w:sz w:val="21"/>
                    </w:rPr>
                    <w:t>Logo+校名</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不锈钢金属字红色烤漆</w:t>
                  </w:r>
                  <w:r>
                    <w:rPr>
                      <w:rFonts w:ascii="仿宋_GB2312" w:hAnsi="仿宋_GB2312" w:cs="仿宋_GB2312" w:eastAsia="仿宋_GB2312"/>
                      <w:sz w:val="21"/>
                    </w:rPr>
                    <w:t>厚度不低于</w:t>
                  </w:r>
                  <w:r>
                    <w:rPr>
                      <w:rFonts w:ascii="仿宋_GB2312" w:hAnsi="仿宋_GB2312" w:cs="仿宋_GB2312" w:eastAsia="仿宋_GB2312"/>
                      <w:sz w:val="21"/>
                    </w:rPr>
                    <w:t>5cm；单字尺寸200cm*200cm；灯珠采用蓝景灯珠。</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楼体字</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学校正门</w:t>
                  </w:r>
                </w:p>
                <w:p>
                  <w:pPr>
                    <w:pStyle w:val="null3"/>
                    <w:jc w:val="center"/>
                  </w:pPr>
                  <w:r>
                    <w:rPr>
                      <w:rFonts w:ascii="仿宋_GB2312" w:hAnsi="仿宋_GB2312" w:cs="仿宋_GB2312" w:eastAsia="仿宋_GB2312"/>
                      <w:sz w:val="21"/>
                    </w:rPr>
                    <w:t>教学楼</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以学校办学理念或培养目标进行提炼（内容自拟）</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铝方通背景板内置钢骨架；不锈钢金属字红色烤漆</w:t>
                  </w:r>
                  <w:r>
                    <w:rPr>
                      <w:rFonts w:ascii="仿宋_GB2312" w:hAnsi="仿宋_GB2312" w:cs="仿宋_GB2312" w:eastAsia="仿宋_GB2312"/>
                      <w:sz w:val="21"/>
                    </w:rPr>
                    <w:t>厚度</w:t>
                  </w:r>
                  <w:r>
                    <w:rPr>
                      <w:rFonts w:ascii="仿宋_GB2312" w:hAnsi="仿宋_GB2312" w:cs="仿宋_GB2312" w:eastAsia="仿宋_GB2312"/>
                      <w:sz w:val="21"/>
                    </w:rPr>
                    <w:t>5cm 单字尺寸根据现场环境比例设计。</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大厅形象墙</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教学楼大厅</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围绕办学理念，从</w:t>
                  </w:r>
                  <w:r>
                    <w:rPr>
                      <w:rFonts w:ascii="仿宋_GB2312" w:hAnsi="仿宋_GB2312" w:cs="仿宋_GB2312" w:eastAsia="仿宋_GB2312"/>
                      <w:sz w:val="21"/>
                      <w:shd w:fill="FFFFFF" w:val="clear"/>
                    </w:rPr>
                    <w:t>整体空间</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学校</w:t>
                  </w:r>
                  <w:r>
                    <w:rPr>
                      <w:rFonts w:ascii="仿宋_GB2312" w:hAnsi="仿宋_GB2312" w:cs="仿宋_GB2312" w:eastAsia="仿宋_GB2312"/>
                      <w:sz w:val="21"/>
                      <w:shd w:fill="FFFFFF" w:val="clear"/>
                    </w:rPr>
                    <w:t>核心元素提取、</w:t>
                  </w:r>
                  <w:r>
                    <w:rPr>
                      <w:rFonts w:ascii="仿宋_GB2312" w:hAnsi="仿宋_GB2312" w:cs="仿宋_GB2312" w:eastAsia="仿宋_GB2312"/>
                      <w:sz w:val="21"/>
                      <w:shd w:fill="FFFFFF" w:val="clear"/>
                    </w:rPr>
                    <w:t>进行</w:t>
                  </w:r>
                  <w:r>
                    <w:rPr>
                      <w:rFonts w:ascii="仿宋_GB2312" w:hAnsi="仿宋_GB2312" w:cs="仿宋_GB2312" w:eastAsia="仿宋_GB2312"/>
                      <w:sz w:val="21"/>
                      <w:shd w:fill="FFFFFF" w:val="clear"/>
                    </w:rPr>
                    <w:t>分区设计</w:t>
                  </w:r>
                  <w:r>
                    <w:rPr>
                      <w:rFonts w:ascii="仿宋_GB2312" w:hAnsi="仿宋_GB2312" w:cs="仿宋_GB2312" w:eastAsia="仿宋_GB2312"/>
                      <w:sz w:val="21"/>
                      <w:shd w:fill="FFFFFF" w:val="clear"/>
                    </w:rPr>
                    <w:t>。</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采用轻钢龙骨加阻燃板加石膏板打底。表面采用乳胶漆。墙面广告部分采用宣绒布打底。造型采用</w:t>
                  </w:r>
                  <w:r>
                    <w:rPr>
                      <w:rFonts w:ascii="仿宋_GB2312" w:hAnsi="仿宋_GB2312" w:cs="仿宋_GB2312" w:eastAsia="仿宋_GB2312"/>
                      <w:sz w:val="21"/>
                    </w:rPr>
                    <w:t>PVC烤漆工艺。文字logo采用背发光，其他文字采用发光字。</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教学楼大厅墙面</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教学楼大厅</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以大力倡导社会主义精神文明、积极践行社会主义核心价值观、全面贯彻党的教育方针为核心指引，打造兼具思想引领与文化底蕴的校园空间视觉焦点。</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墙面</w:t>
                  </w:r>
                  <w:r>
                    <w:rPr>
                      <w:rFonts w:ascii="仿宋_GB2312" w:hAnsi="仿宋_GB2312" w:cs="仿宋_GB2312" w:eastAsia="仿宋_GB2312"/>
                      <w:sz w:val="21"/>
                    </w:rPr>
                    <w:t>尺寸：高度</w:t>
                  </w:r>
                  <w:r>
                    <w:rPr>
                      <w:rFonts w:ascii="仿宋_GB2312" w:hAnsi="仿宋_GB2312" w:cs="仿宋_GB2312" w:eastAsia="仿宋_GB2312"/>
                      <w:sz w:val="21"/>
                    </w:rPr>
                    <w:t>3.0米，长度3.62米。文字采用不锈钢精工字烤漆工艺</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2025-2026学年度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2025-2026学年度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自合同签订之日起4个月内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西安市城南中学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西安市城南中学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西安市城南中学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符合采购文件要求。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第一阶段培训完成</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第二阶段培训完成，验收合格后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第一学期结束</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第二学期结束，验收合格后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项目完成并经甲方验收合格后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如因乙方原因不按约定时间开始及完成合同服务内容的，每延迟一天按本合同总价的1％支付延期违约金；延迟7天以上的，视为乙方不能按约定完成合同承包内容，甲方有权单方解除合同。造成甲方损失的，乙方赔偿甲方全部损失。 2.如乙方不能按照合同约定的内容，完成相关工作的，甲方有权单方解除合同，由此造成损失由乙方全部由承担。 3.本技术服务项目严禁转包，一经发现乙方有转包行为者，甲方有权单方解除合同，由此造成甲方损失的，由乙方负责。 二、合同争议的解决方式 双方因履行合同而产生的争议或纠纷，应及时协商解决。协商不成的，双方均可向甲方所在地有管辖权的人民法院起诉。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 1.如因乙方原因不按约定时间开始及完成合同服务内容的，每延迟一天按本合同总价的1％支付延期违约金；延迟7天以上的，视为乙方不能按约定完成合同承包内容，甲方有权单方解除合同。造成甲方损失的，乙方赔偿甲方全部损失。 2.如乙方不能按照合同约定的内容，完成相关工作的，甲方有权单方解除合同，由此造成损失由乙方全部由承担。 3.本技术服务项目严禁转包，一经发现乙方有转包行为者，甲方有权单方解除合同，由此造成甲方损失的，由乙方负责。 二、合同争议的解决方式 双方因履行合同而产生的争议或纠纷，应及时协商解决。协商不成的，双方均可向甲方所在地有管辖权的人民法院起诉。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一、违约责任 1.如因乙方原因不按约定时间开始及完成合同服务内容的，每延迟一天按本合同总价的1％支付延期违约金；延迟7天以上的，视为乙方不能按约定完成合同承包内容，甲方有权单方解除合同。造成甲方损失的，乙方赔偿甲方全部损失。 2.如乙方不能按照合同约定的内容，完成相关工作的，甲方有权单方解除合同，由此造成损失由乙方全部由承担。 3.本技术服务项目严禁转包，一经发现乙方有转包行为者，甲方有权单方解除合同，由此造成甲方损失的，由乙方负责。 二、合同争议的解决方式 双方因履行合同而产生的争议或纠纷，应及时协商解决。协商不成的，双方均可向甲方所在地有管辖权的人民法院起诉。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相关资格证明资料.docx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相关资格证明资料.docx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相关资格证明资料.docx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“信用中国”网站及中国政府采购网查询记录</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“信用中国”网站及中国政府采购网查询记录</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供应商基本账户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“信用中国”网站及中国政府采购网查询记录</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相关资格证明资料.docx 标的清单 报价表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相关资格证明资料.docx 标的清单 报价表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相关资格证明资料.docx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一、评审内容：针对本项目提出适用于本项目的服务方案，包括： ①项目理解与分析 ②培训方案 ③课程讲座内容 二、评审标准： 1、完整性：方案必须全面，对评审内容中的各项要求有详细描述； 2、可实施性：切合本项目实际情况，提出步骤清晰、合理的方案； 3、针对性：方案能够紧扣项目实际情况，内容科学合理。 三、赋分标准（满分18分） ①项目理解与分析：每完全满足一个评审标准得 2分，满分6分； ②培训方案：每完全满足一个评审标准得2分，满分6分； ③课程讲座内容：每完全满足一个评审标准得2分，满分6分。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场地及设备配置情况</w:t>
            </w:r>
          </w:p>
        </w:tc>
        <w:tc>
          <w:tcPr>
            <w:tcW w:type="dxa" w:w="2492"/>
          </w:tcPr>
          <w:p>
            <w:pPr>
              <w:pStyle w:val="null3"/>
            </w:pPr>
            <w:r>
              <w:rPr>
                <w:rFonts w:ascii="仿宋_GB2312" w:hAnsi="仿宋_GB2312" w:cs="仿宋_GB2312" w:eastAsia="仿宋_GB2312"/>
              </w:rPr>
              <w:t>一、评审内容：针对本项目提出适用于本项目的场地及设备配置情况，包括： ①培训工作的设备配置 ②培训场地保障方案 二、评审标准： 1、完整性：方案必须全面，对评审内容中的各项要求有详细描述； 2、可实施性：切合本项目实际情况，提出步骤清晰、合理的方案； 3、针对性：方案能够紧扣项目实际情况，内容科学合理。 三、赋分标准（满分15分） ①培训工作的设备配置：每完全满足一个评审标准得2分，满分6分； ②培训场地保障方案：每完全满足一个评审标准得3分，满分9分；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项目管理措施</w:t>
            </w:r>
          </w:p>
        </w:tc>
        <w:tc>
          <w:tcPr>
            <w:tcW w:type="dxa" w:w="2492"/>
          </w:tcPr>
          <w:p>
            <w:pPr>
              <w:pStyle w:val="null3"/>
            </w:pPr>
            <w:r>
              <w:rPr>
                <w:rFonts w:ascii="仿宋_GB2312" w:hAnsi="仿宋_GB2312" w:cs="仿宋_GB2312" w:eastAsia="仿宋_GB2312"/>
              </w:rPr>
              <w:t>一、评审内容：针对采购需求提出适用于本项目的管理措施方案，方案包括： ①质量保证措施 ②进度控制措施 ③项目人员管理措施 二、评审标准： 1、完整性：方案必须全面，对评审内容中的各项要求有详细描述； 2、可实施性：切合本项目实际情况，提出步骤清晰、合理的方案； 3、针对性：方案能够紧扣项目实际情况，内容科学合理。 三、赋分标准（满分18分） ①质量保证措施：每完全满足一个评审标准得2分，满分6分； ②进度控制措施：每完全满足一个评审标准得2分，满分6分； ③项目人员管理措施：每完全满足一个评审标准得2分，满分6分。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应急安全管理</w:t>
            </w:r>
          </w:p>
        </w:tc>
        <w:tc>
          <w:tcPr>
            <w:tcW w:type="dxa" w:w="2492"/>
          </w:tcPr>
          <w:p>
            <w:pPr>
              <w:pStyle w:val="null3"/>
            </w:pPr>
            <w:r>
              <w:rPr>
                <w:rFonts w:ascii="仿宋_GB2312" w:hAnsi="仿宋_GB2312" w:cs="仿宋_GB2312" w:eastAsia="仿宋_GB2312"/>
              </w:rPr>
              <w:t>一、评审内容：针对本项目提出适用于本项目的应急安全管理方案，方案包括： ①突发应急事件预案 ②应急保障措施 二、评审标准： 1、完整性：方案必须全面，对评审内容中的各项要求有详细描述； 2、可实施性：切合本项目实际情况，提出步骤清晰、合理的方案； 3、针对性：方案能够紧扣项目实际情况，内容科学合理。 三、赋分标准（满分12分） ①突发应急事件预案：每完全满足一个评审标准得2分，满分6分； ②应急保障措施：每完全满足一个评审标准得2分，满分6分；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对本项目拟投入人员配备方案： （1）针对本项目拟配备服务团队人员架构齐全、数量充足、专业经验丰富，配备方案合理高效，逻辑结构清晰且具有针对性的，得6-8分； （2）针对本项目拟配备服务团队人员架构基本齐全、数量基本充足、专业经验丰富，配备方案明确且具有一定合理性，逻辑结构基本清晰且具有一定针对性的，得3-6分； （3）针对本项目拟配备服务团队人员架构明确、数量不足、专业经验不足，配备方案含糊，逻辑结构不清晰且针对性不足的，得1-3分；未提供不得分。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实施进度安排</w:t>
            </w:r>
          </w:p>
        </w:tc>
        <w:tc>
          <w:tcPr>
            <w:tcW w:type="dxa" w:w="2492"/>
          </w:tcPr>
          <w:p>
            <w:pPr>
              <w:pStyle w:val="null3"/>
            </w:pPr>
            <w:r>
              <w:rPr>
                <w:rFonts w:ascii="仿宋_GB2312" w:hAnsi="仿宋_GB2312" w:cs="仿宋_GB2312" w:eastAsia="仿宋_GB2312"/>
              </w:rPr>
              <w:t>一、评审内容：针对本次培训制定各阶段时间节点安排、工作内容安排等进度计划方案和各阶段的实施计划。方案包括： ①培训考核及评价建设方案 ②学员培训考核办法 二、评审标准： 1、完整性：方案必须全面，对评审内容中的各项要求有详细描述； 2、可实施性：切合本项目实际情况，提出步骤清晰、合理的方案； 3、针对性：方案能够紧扣项目实际情况，内容科学合理。 三、赋分标准（满分9分） ①培训考核及评价建设方案：每完全满足一个评审标准得1分，满分3分； ②学员培训考核办法：每完全满足一个评审标准得2分，满分6分；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供应商提供自2022年8月至今类似项目业绩，(以合同签订为准，时间以合同签订时间为准) ，每提供一份得2分，满分10分；未提供的不得分。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取最低者作为基准价，各有效供应商的价格评分统一按照下列公式计算：价格评分＝（基准价÷评审价）×价格分分值。注：响应供应商声明自己属于小微企业的，参照相关政策法规的要求执行给予10%的价格扣除，用扣除后的价格（评审价）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项目的理解与认识</w:t>
            </w:r>
          </w:p>
        </w:tc>
        <w:tc>
          <w:tcPr>
            <w:tcW w:type="dxa" w:w="2492"/>
          </w:tcPr>
          <w:p>
            <w:pPr>
              <w:pStyle w:val="null3"/>
            </w:pPr>
            <w:r>
              <w:rPr>
                <w:rFonts w:ascii="仿宋_GB2312" w:hAnsi="仿宋_GB2312" w:cs="仿宋_GB2312" w:eastAsia="仿宋_GB2312"/>
              </w:rPr>
              <w:t>一、评审内容。针对本项目 ①项目背景、②项目内容、③项目目标思路等理解程度进行评审，二、评审标准： 1、完整性：方案必须全面，对评审内容中的各项要求有详细描述； 2、可实施性：切合本项目实际情况，提出步骤清晰、合理的方案； 3、针对性：方案能够紧扣项目实际情况，内容科学合理。 三、赋分标准（满分18分） ①项目背景：每完全满足一个评审标准得 2分，满分6分；②项目内容：每完全满足一个评审标准得2分，满分6分； ③项目目标思路等理解程度：每完全满足一个评审标准得2分，满分6分。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一、评审内容：针对本项目的整体服务方案进行评审，包括： ①心理教师教学指导方案、 ②心理教师专业能力评价方案、③心理健康指导活动实施方案。二、评审标准： 1、完整性：方案必须全面，对评审内容中的各项要求有详细描述； 2、可实施性：切合本项目实际情况，提出步骤清晰、合理的方案； 3、针对性：方案能够紧扣项目实际情况，内容科学合理。 三、赋分标准（满分18分） ①心理教师教学指导方案：每完全满足一个评审标准得2分，满分6分； ②心理教师专业能力评价方案：每完全满足一个评审标准得2分，满分6分； ③心理健康指导活动实施方案：每完全满足一个评审标准得2分，满分6分；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实施进度安排</w:t>
            </w:r>
          </w:p>
        </w:tc>
        <w:tc>
          <w:tcPr>
            <w:tcW w:type="dxa" w:w="2492"/>
          </w:tcPr>
          <w:p>
            <w:pPr>
              <w:pStyle w:val="null3"/>
            </w:pPr>
            <w:r>
              <w:rPr>
                <w:rFonts w:ascii="仿宋_GB2312" w:hAnsi="仿宋_GB2312" w:cs="仿宋_GB2312" w:eastAsia="仿宋_GB2312"/>
              </w:rPr>
              <w:t>一、评审内容：针对本次培训制定实施进度安排，方案包括：①各阶段时间节点安排、 ②工作内容安排等进度计划方案、③各阶段的实施计划。 二、评审标准： 1、完整性：方案必须全面，对评审内容中的各项要求有详细描述； 2、可实施性：切合本项目实际情况，提出步骤清晰、合理的方案； 3、针对性：方案能够紧扣项目实际情况，内容科学合理。 三、赋分标准（满分18分）①各阶段时间节点安排：每完全满足一个评审标准得2分，满分6分；②工作内容安排等进度计划方案：每完全满足一个评审标准得2分，满分6分；③各阶段的实施计划：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管理措施方案</w:t>
            </w:r>
          </w:p>
        </w:tc>
        <w:tc>
          <w:tcPr>
            <w:tcW w:type="dxa" w:w="2492"/>
          </w:tcPr>
          <w:p>
            <w:pPr>
              <w:pStyle w:val="null3"/>
            </w:pPr>
            <w:r>
              <w:rPr>
                <w:rFonts w:ascii="仿宋_GB2312" w:hAnsi="仿宋_GB2312" w:cs="仿宋_GB2312" w:eastAsia="仿宋_GB2312"/>
              </w:rPr>
              <w:t>一、评审内容：针对采购需求提出适用于本项目的管理措施方案，方案包括： ①质量保证措施 ②进度控制措施 ③项目人员管理措施 二、评审标准： 1、完整性：方案必须全面，对评审内容中的各项要求有详细描述； 2、可实施性：切合本项目实际情况，提出步骤清晰、合理的方案； 3、针对性：方案能够紧扣项目实际情况，内容科学合理。 三、赋分标准（满分18分） ①质量保证措施：每完全满足一个评审标准得2分，满分6分； ②进度控制措施：每完全满足一个评审标准得2分，满分6分； ③项目人员管理措施：每完全满足一个评审标准得2分，满分6分。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对本项目拟投入人员配备方案： （1）针对本项目拟配备服务团队人员架构齐全、数量充足、专业经验丰富，配备方案合理高效，逻辑结构清晰且具有针对性的，得6-8分； （2）针对本项目拟配备服务团队人员架构基本齐全、数量基本充足、专业经验丰富，配备方案明确且具有一定合理性，逻辑结构基本清晰且具有一定针对性的，得3-6分； （3）针对本项目拟配备服务团队人员架构明确、数量不足、专业经验不足，配备方案含糊，逻辑结构不清晰且针对性不足的，得1-3分；未提供不得分。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供应商提供自2022年8月至今类似项目业绩，(以合同签订为准，时间以合同签订时间为准) ，每提供一份得2分，满分10分；未提供的不得分。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取最低者作为基准价，各有效供应商的价格评分统一按照下列公式计算：价格评分＝（基准价÷评审价）×价格分分值。注：响应供应商声明自己属于小微企业的，参照相关政策法规的要求执行给予10%的价格扣除，用扣除后的价格（评审价）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针对本项目的需求理解</w:t>
            </w:r>
          </w:p>
        </w:tc>
        <w:tc>
          <w:tcPr>
            <w:tcW w:type="dxa" w:w="2492"/>
          </w:tcPr>
          <w:p>
            <w:pPr>
              <w:pStyle w:val="null3"/>
            </w:pPr>
            <w:r>
              <w:rPr>
                <w:rFonts w:ascii="仿宋_GB2312" w:hAnsi="仿宋_GB2312" w:cs="仿宋_GB2312" w:eastAsia="仿宋_GB2312"/>
              </w:rPr>
              <w:t>一、评审内容：针对本项目的需求理解：①实施背景；②实施目的；③实施意义等具备充分的认识。二、评审标准： 1、完整性：方案必须全面，对评审内容中的各项要求有详细描述； 2、可实施性：切合本项目实际情况，提出步骤清晰、合理的方案； 3、针对性：方案能够紧扣项目实际情况，内容科学合理。 三、赋分标准（满分9分） ①实施背景：每完全满足一个评审标准得 1分，满分3分；②实施目的：每完全满足一个评审标准得1分，满分3分；③实施意义：每完全满足一个评审标准得1分，满分3分。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创意设计</w:t>
            </w:r>
          </w:p>
        </w:tc>
        <w:tc>
          <w:tcPr>
            <w:tcW w:type="dxa" w:w="2492"/>
          </w:tcPr>
          <w:p>
            <w:pPr>
              <w:pStyle w:val="null3"/>
            </w:pPr>
            <w:r>
              <w:rPr>
                <w:rFonts w:ascii="仿宋_GB2312" w:hAnsi="仿宋_GB2312" w:cs="仿宋_GB2312" w:eastAsia="仿宋_GB2312"/>
              </w:rPr>
              <w:t>一、评审内容：针对本项目提供：①项目整体化设计思路；②设计方案要求具有创造性，空间布局合理，色彩运用恰；③工作计划合理，完全满足设计各阶段的进度要求；④宣传片拍摄及展示区域内容设计新颖，契合学校理念。二、评审标准： 1、完整性：方案必须全面，对评审内容中的各项要求有详细描述； 2、可实施性：切合本项目实际情况，提出步骤清晰、合理的方案； 3、针对性：方案能够紧扣项目实际情况，内容科学合理。 三、赋分标准（满分24分）①项目整体化设计思路：每完全满足一个评审标准得 2分，满分6分；②设计方案要求具有创造性，空间布局合理，色彩运用恰：每完全满足一个评审标准得2分，满分6分；③工作计划合理，完全满足设计各阶段的进度要求：每完全满足一个评审标准得2分，满分6分。④宣传片拍摄及展示区域内容设计新颖，契合学校理念：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一、评审内容：针对本项目的实施方案：①宣传片的制作方案；②楼体字的制作方案；③形象墙的实施方案。二、评审标准： 1、完整性：方案必须全面，对评审内容中的各项要求有详细描述； 2、可实施性：切合本项目实际情况，提出步骤清晰、合理的方案； 3、针对性：方案能够紧扣项目实际情况，内容科学合理。 三、赋分标准（满分18分） ①宣传片的制作方案：每完全满足一个评审标准得2分，满分6分；②楼体字的制作方案：每完全满足一个评审标准得2分，满分6分；③形象墙的实施方案：每完全满足一个评审标准得2分，满分6分。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一、评审内容：为本项目质量保障措施：①确保设计完成时限、②控制设计失误、③项目负责人全过程负责项目方案修改、整合、设计沟通等保证。二、评审标准： 1、完整性：方案必须全面，对评审内容中的各项要求有详细描述； 2、可实施性：切合本项目实际情况，提出步骤清晰、合理的方案； 3、针对性：方案能够紧扣项目实际情况，内容科学合理。 三、赋分标准（满分9分） ①确保设计完成时限：每完全满足一个评审标准得 1分，满分3分；②控制设计失误：每完全满足一个评审标准得1分，满分3分；③项目负责人全过程负责项目方案修改、整合、设计沟通等保证：每完全满足一个评审标准得1分，满分3分。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对本项目拟投入人员配备方案： （1）针对本项目拟配备服务团队人员架构齐全、数量充足、专业经验丰富，配备方案合理高效，逻辑结构清晰且具有针对性的，得6-8分； （2）针对本项目拟配备服务团队人员架构基本齐全、数量基本充足、专业经验丰富，配备方案明确且具有一定合理性，逻辑结构基本清晰且具有一定针对性的，得3-6分； （3）针对本项目拟配备服务团队人员架构明确、数量不足、专业经验不足，配备方案含糊，逻辑结构不清晰且针对性不足的，得1-3分；未提供不得分。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售后保障方案</w:t>
            </w:r>
          </w:p>
        </w:tc>
        <w:tc>
          <w:tcPr>
            <w:tcW w:type="dxa" w:w="2492"/>
          </w:tcPr>
          <w:p>
            <w:pPr>
              <w:pStyle w:val="null3"/>
            </w:pPr>
            <w:r>
              <w:rPr>
                <w:rFonts w:ascii="仿宋_GB2312" w:hAnsi="仿宋_GB2312" w:cs="仿宋_GB2312" w:eastAsia="仿宋_GB2312"/>
              </w:rPr>
              <w:t>一、评审内容：针对本项目的售后保障方案，①质保期内及质保期外维保措施；②售后服务人员配置情况，提供明确、详细的售后服务安排及承诺；③校园文化建设满足采购人需求的质量保障措施；④所投设备技术保障等方面的承诺和保证措施。二、评审标准： 1、完整性：方案必须全面，对评审内容中的各项要求有详细描述； 2、可实施性：切合本项目实际情况，提出步骤清晰、合理的方案； 3、针对性：方案能够紧扣项目实际情况，内容科学合理。 三、赋分标准（满分12分）①质保期内及质保期外维保措施：每完全满足一个评审标准得 1分，满分3分；②售后服务人员配置情况，提供明确、详细的售后服务安排及承诺：每完全满足一个评审标准得1分，满分3分；③校园文化建设满足采购人需求的质量保障措施：每完全满足一个评审标准得1分，满分3分；④所投设备技术保障等方面的承诺和保证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供应商提供自2022年8月至今类似项目业绩，(以合同签订为准，时间以合同签订时间为准) ，每提供一份得2分，满分10分；未提供的不得分。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取最低者作为基准价，各有效供应商的价格评分统一按照下列公式计算：价格评分＝（基准价÷评审价）×价格分分值。注：响应供应商声明自己属于小微企业的，参照相关政策法规的要求执行给予10%的价格扣除，用扣除后的价格（评审价）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详见附件：商务和技术响应.docx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详见附件：商务和技术响应.docx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详见附件：商务和技术响应.docx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