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版本号：JXD2025-ZCYT-121720251217001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雁塔区12345政务服务便民热线运营服务项目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JXD2025-ZCYT-1217</w:t>
      </w:r>
      <w:r>
        <w:br/>
      </w:r>
      <w:r>
        <w:br/>
      </w:r>
      <w:r>
        <w:br/>
      </w:r>
    </w:p>
    <w:p>
      <w:pPr>
        <w:pStyle w:val="null3"/>
        <w:jc w:val="center"/>
        <w:outlineLvl w:val="2"/>
      </w:pPr>
      <w:r>
        <w:rPr>
          <w:rFonts w:ascii="仿宋_GB2312" w:hAnsi="仿宋_GB2312" w:cs="仿宋_GB2312" w:eastAsia="仿宋_GB2312"/>
          <w:sz w:val="28"/>
          <w:b/>
        </w:rPr>
        <w:t>西安市雁塔区数据局</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西安市雁塔区数据局</w:t>
      </w:r>
      <w:r>
        <w:rPr>
          <w:rFonts w:ascii="仿宋_GB2312" w:hAnsi="仿宋_GB2312" w:cs="仿宋_GB2312" w:eastAsia="仿宋_GB2312"/>
        </w:rPr>
        <w:t>委托，拟对</w:t>
      </w:r>
      <w:r>
        <w:rPr>
          <w:rFonts w:ascii="仿宋_GB2312" w:hAnsi="仿宋_GB2312" w:cs="仿宋_GB2312" w:eastAsia="仿宋_GB2312"/>
        </w:rPr>
        <w:t>雁塔区12345政务服务便民热线运营服务项目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JXD2025-ZCYT-1217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雁塔区12345政务服务便民热线运营服务项目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通过采购专业的运营维护及数据监控分析服务，保障雁塔区12345政务服务便民热线平台稳定、高效、安全运行，提升工单办理质效与数据分析能力，最终实现群众满意度持续提升。项目服务范围涵盖区级热线平台运营维护服务及数据监控分析服务两个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pPr>
      <w:r>
        <w:rPr>
          <w:rFonts w:ascii="仿宋_GB2312" w:hAnsi="仿宋_GB2312" w:cs="仿宋_GB2312" w:eastAsia="仿宋_GB2312"/>
        </w:rPr>
        <w:t>2、信用记录：供应商不得为“信用中国”网站（www.creditchi na.gov.cn）中列入失信被执行人和重大税收违法失信主体名单的供应商，不得为中国政府采购网（www.ccgp.gov.cn）政府采购严重违法失信行为记录名单中被财政部门禁止参加政府 采购活动的供应商。（供应商可将“信用中国”网站“中国政府采购网”网页查询截图加盖供应商公章附在投标文件中，采购人、采购代理机构有权在评标现场对各供应商信用记录情况进行甄别查询，对被列入失信被执行人、政府 采购严重违法失信行为记录名单及其他不符合《中华人民共和国政府采购法》第二十二条规定条件的供应商，将拒绝其参与政府采购活动,并对查询结果予以截图留存。）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陕西省西安市健康东路20号区政府南苑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029-88400136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缴纳方式:采用现金或转账方式缴纳(账号信息如下)。 账户名称:陕西钜信达工程项目管理有限公司西安第一分公司 账号:129918351510001 开户行:招商银行股份有限公司西安西影路支行 转账事由:(项目简称或项目编号)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西安市雁塔区数据局</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联系电话：15094017739</w:t>
      </w:r>
    </w:p>
    <w:p>
      <w:pPr>
        <w:pStyle w:val="null3"/>
      </w:pPr>
      <w:r>
        <w:rPr>
          <w:rFonts w:ascii="仿宋_GB2312" w:hAnsi="仿宋_GB2312" w:cs="仿宋_GB2312" w:eastAsia="仿宋_GB2312"/>
        </w:rPr>
        <w:t>地址：陕西省西安市雁塔区雁翔路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通过采购专业的运营维护及数据监控分析服务，保障雁塔区12345政务服务便民热线平台稳定、高效、安全运行，提升工单办理质效与数据分析能力，最终实现群众满意度持续提升。项目服务范围涵盖区级热线平台运营维护服务及数据监控分析服务两个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1,952,000.00</w:t>
      </w:r>
    </w:p>
    <w:p>
      <w:pPr>
        <w:pStyle w:val="null3"/>
      </w:pPr>
      <w:r>
        <w:rPr>
          <w:rFonts w:ascii="仿宋_GB2312" w:hAnsi="仿宋_GB2312" w:cs="仿宋_GB2312" w:eastAsia="仿宋_GB2312"/>
        </w:rPr>
        <w:t>采购包最高限价（元）: 1,952,000.00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雁塔区12345政务服务便民热线运营服务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标的名称：雁塔区12345政务服务便民热线运营服务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color w:val="000000"/>
              </w:rPr>
              <w:t>项目内容</w:t>
            </w:r>
          </w:p>
          <w:p>
            <w:pPr>
              <w:pStyle w:val="null3"/>
              <w:ind w:firstLine="643"/>
              <w:jc w:val="both"/>
            </w:pPr>
            <w:r>
              <w:rPr>
                <w:rFonts w:ascii="仿宋_GB2312" w:hAnsi="仿宋_GB2312" w:cs="仿宋_GB2312" w:eastAsia="仿宋_GB2312"/>
                <w:sz w:val="32"/>
                <w:b/>
                <w:color w:val="000000"/>
              </w:rPr>
              <w:t>（一）区级热线平台运营维护服务</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按照采购人要求提供7×24小时现场运维服务，包括热线平台系统运维和热线业务服务，以及协调指挥等行政辅助性工作。高标准配备与业务相适应的项目负责人及管理人员、项目运维技术人员及热线服务工作团队，保障区级12345政务服务便民热线平台7×24小时运行。各项工作不低于国家、省市区《12345政务服务便民热线运行管理暂行办法》和热线服务规范要求。具体为：</w:t>
            </w:r>
          </w:p>
          <w:p>
            <w:pPr>
              <w:pStyle w:val="null3"/>
              <w:ind w:firstLine="640"/>
              <w:jc w:val="both"/>
            </w:pPr>
            <w:r>
              <w:rPr>
                <w:rFonts w:ascii="仿宋_GB2312" w:hAnsi="仿宋_GB2312" w:cs="仿宋_GB2312" w:eastAsia="仿宋_GB2312"/>
                <w:sz w:val="32"/>
              </w:rPr>
              <w:t>（1）认真、及时办理市热线办转办的市民服务热线工单，保证工单的按期办结率达到95%及以上，热线工单办理的退单率保持在较低水平，结果满意率保持在较高水平；（2）负责接收市级平台派发的工单，工作期间在2小时内确认交办事项，非工作期间在4小时内确认交办事项；（3）负责对工单内容进行研判，及时将工单转发给各承办单位及协调处理；（4）负责对市级平台转派的工单进行核实，将不属于本单位办理的工单及时退回；（5）负责对承办部门办理工单进度进行督办、催单；（6）负责对承接的工单进行统计、分析；（7）负责根据采购人工作需要承担区级12345政务服务便民热线中心交办的专项工作；（8）负责在工作交接时明确交接工单清单及办理进度；（9）负责与市平台及区内各承办单位对接沟通；（10）值班工作人员应在岗在位并保持电话畅通、便于随时联系。</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按本项目要求，负责业务人员的驻场、组织、管理、培训、考核等。确保人员出勤率和充足的补充渠道，满足项目的服务需求，保持人员稳定。</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建立完善的、常态的人员培训机制，保障人员业务知识、服务礼仪、系统操作等技能培训到位。</w:t>
            </w:r>
          </w:p>
          <w:p>
            <w:pPr>
              <w:pStyle w:val="null3"/>
              <w:ind w:firstLine="643"/>
              <w:jc w:val="both"/>
            </w:pPr>
            <w:r>
              <w:rPr>
                <w:rFonts w:ascii="仿宋_GB2312" w:hAnsi="仿宋_GB2312" w:cs="仿宋_GB2312" w:eastAsia="仿宋_GB2312"/>
                <w:sz w:val="32"/>
                <w:b/>
                <w:color w:val="000000"/>
              </w:rPr>
              <w:t>（二）区级热线平台数据监控分析服务</w:t>
            </w:r>
          </w:p>
          <w:p>
            <w:pPr>
              <w:pStyle w:val="null3"/>
              <w:ind w:firstLine="640"/>
              <w:jc w:val="both"/>
            </w:pPr>
            <w:r>
              <w:rPr>
                <w:rFonts w:ascii="仿宋_GB2312" w:hAnsi="仿宋_GB2312" w:cs="仿宋_GB2312" w:eastAsia="仿宋_GB2312"/>
                <w:sz w:val="32"/>
              </w:rPr>
              <w:t>按照采购人要求提供区级热线平台数据监控分析服务，通过对12345工单数据全生命周期治理，达到办理质效提高、监测流程优化、分析能力提升的目标，进一步提升我区政务服务工作质量和水平，不断提升群众满意率。</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数据专项服务：（1）根据当前雁塔区各街办及局办自身业务职责，梳理雁塔区12345权责清单；（2）数据对接服务，按照市级平台的数据规范，进行相关数据对接调整；（3）工单数据地址坐标反编译服务，根据工单内容提取地理位置并映射到地图；（4）指标建设服务，对12345关键性指标进行构建，如承办量、办结率、退单率、满意率等；（5）数据安全服务，对数据安全进行保障，满足中省市区对政务数据安全的要求。</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系统工具服务：服务期间，乙方需提供能够满足以下要求的系统工具：（1）工单空间汇集呈现服务，实现工单数据地图空间化，如各类工单分布、热点分布、解决情况分布等内容，便于管理者发现工单与区域之间的关系；（2）工单查询服务，可按照多维度的筛选条件，快速定位到需了解的工单集合、工单详情等；（3）指标分析服务，支撑多维度快速统计，可按照街办、部门等纬度进行指标统计；（4）专项报告服务，根据业务需求，对市民反映问题进行深度分析研究，包括问题高发类型、问题高发区域、环比增长减少等维度，动态形成周、月报告，为管理者提供决策依据；（5）运行监测服务，通过数据汇总与空间化落图集中展示，可快速、有效的进行各项数据的抽取查看，为决策者提供运行状态的实时监管。</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技术要求：为确保运营效率和质量，根据采购人的实际业务需求，对技术服务进行迭代升级。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3"/>
              <w:jc w:val="both"/>
            </w:pPr>
            <w:r>
              <w:rPr>
                <w:rFonts w:ascii="仿宋_GB2312" w:hAnsi="仿宋_GB2312" w:cs="仿宋_GB2312" w:eastAsia="仿宋_GB2312"/>
                <w:sz w:val="32"/>
                <w:b/>
              </w:rPr>
              <w:t>考核验收要求</w:t>
            </w:r>
          </w:p>
          <w:p>
            <w:pPr>
              <w:pStyle w:val="null3"/>
              <w:ind w:firstLine="640"/>
              <w:jc w:val="both"/>
            </w:pPr>
            <w:r>
              <w:rPr>
                <w:rFonts w:ascii="仿宋_GB2312" w:hAnsi="仿宋_GB2312" w:cs="仿宋_GB2312" w:eastAsia="仿宋_GB2312"/>
                <w:sz w:val="32"/>
              </w:rPr>
              <w:t>每季度根据服务情况进行考核验收，标准如下：</w:t>
            </w:r>
          </w:p>
          <w:tbl>
            <w:tblPr>
              <w:tblBorders>
                <w:top w:val="single"/>
                <w:left w:val="single"/>
                <w:bottom w:val="single"/>
                <w:right w:val="single"/>
                <w:insideH w:val="single"/>
                <w:insideV w:val="single"/>
              </w:tblBorders>
            </w:tblPr>
            <w:tblGrid>
              <w:gridCol w:w="194"/>
              <w:gridCol w:w="370"/>
              <w:gridCol w:w="555"/>
              <w:gridCol w:w="1194"/>
              <w:gridCol w:w="242"/>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序号</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指标名称</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指标内容要求</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考核要求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权重（分）</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工单处理效率</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确保工单在2个工作时内完成派单及上报工作，复杂问题及时沟通、上报研判，并在1个工作日内完成派单</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2"/>
                    </w:rPr>
                    <w:t>市级工单接收及时性（10分）：须在 2 个工作时内接收市级转派的工单，该项满分10分，按时接收率大于等于90%，得10分；小于90%，每低1个百分点扣1分，最低为0分。按时接收率=按时接收工单数/市级转派工单数*100%。</w:t>
                  </w:r>
                </w:p>
                <w:p>
                  <w:pPr>
                    <w:pStyle w:val="null3"/>
                    <w:numPr>
                      <w:ilvl w:val="0"/>
                      <w:numId w:val="1"/>
                    </w:numPr>
                    <w:jc w:val="both"/>
                  </w:pPr>
                  <w:r>
                    <w:rPr>
                      <w:rFonts w:ascii="仿宋_GB2312" w:hAnsi="仿宋_GB2312" w:cs="仿宋_GB2312" w:eastAsia="仿宋_GB2312"/>
                      <w:sz w:val="22"/>
                    </w:rPr>
                    <w:t>普通工单转派时效（10分）：普通工单需在 2 个工作时内完成转派，该项满分10分，按时转派率大于等于90%，得10分；小于90%，每低1个百分点扣1分，最低为0分。普通按时转派率=普通工单按时转派工单数/普通工单数*100%。</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复杂工单转派时效（10分）：复杂问题工单，需在 1 个工作日内完成派单，该项满分10分，按时转派率大于等于90%，得 10 分。按时转派率目标值为90%，达成要求该项满分 10 分；小于90%，每低1个百分点扣1分，最低为0分。复杂工单按时转派率=复杂工单按时转派工单数/复杂工单数*100%。</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上报内容审核与提交（10分）：需在 2 个工作时内完成上报内容审核，并及时上报给市热线平台，该项满分10分，按时上报率大于等于90%，得10分；小于90%，每低1个百分点扣1分，最低为0分。按时上报率=按时上报工单数/上报工单总数*100%。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按时办结率</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工单处理按时办结工单达到95%以上</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该项满分20分，按时办结率大于等于95%，得20分；小于95%，每低于1个百分点扣2分，最低为0分。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退单率</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工单处理退单率在20%及以下</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该项满分20分，工单退单率小于等于20%，得20分；每高于1个百分点扣2分，最低为0分。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上级通报</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上级通报表扬与批评</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乙方因工作失误造成甲方被上级通报批评，在20分的基础上视情况每出现一次扣5-20分，最低为0分。其中西安市市委市政府及以上部门批评一次扣20分；西安市市级部门批评一次扣10分；雁塔区区委区政府批评一次扣10分；其它未明确部门批评一次扣5分。</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乙方因工作突出，被上级表扬，在20分的基础上视情况每出现一次加5-20分，最高为20分。其中西安市市委市政府及以上部门表扬一次加20分；西安市市级部门表扬一次加10分；雁塔区区委区政府表扬一次加10分；其它未明确部门表扬一次加5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w:t>
                  </w:r>
                </w:p>
              </w:tc>
            </w:tr>
          </w:tbl>
          <w:p>
            <w:pPr>
              <w:pStyle w:val="null3"/>
              <w:jc w:val="both"/>
            </w:pPr>
            <w:r>
              <w:rPr>
                <w:rFonts w:ascii="仿宋_GB2312" w:hAnsi="仿宋_GB2312" w:cs="仿宋_GB2312" w:eastAsia="仿宋_GB2312"/>
                <w:sz w:val="32"/>
                <w:color w:val="000000"/>
              </w:rPr>
              <w:t>分值达到90分及以上，按照当季合同约定全额付款，考核分值在90分（不含）以下，80分及以上，每分扣除当季合同约定金额的1%；考核分值在80分（不含）以下，视为服务不合格，按照当季合同约定金额的80%付款。一年内连续两次考核不合格，视为供应商不能良好履约，甲方有权终止合同，乙方应当赔偿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一年（自2026年1月1日到2026年12月31日）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第四季度末经考核合格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盖章是指加盖单位印章。（5）各供应商所有分项报价（与最后磋商报价比例一致）同比例下浮。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na.gov.cn）中列入失信被执行人和重大税收违法失信主体名单的供应商，不得为中国政府采购网（www.ccgp.gov.cn）政府采购严重违法失信行为记录名单中被财政部门禁止参加政府 采购活动的供应商。（供应商可将“信用中国”网站“中国政府采购网”网页查询截图加盖供应商公章附在投标文件中，采购人、采购代理机构有权在评标现场对各供应商信用记录情况进行甄别查询，对被列入失信被执行人、政府 采购严重违法失信行为记录名单及其他不符合《中华人民共和国政府采购法》第二十二条规定条件的供应商，将拒绝其参与政府采购活动,并对查询结果予以截图留存。）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响应文件封面 残疾人福利性单位声明函 服务方案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性强且完善的服务方案，包括但不限于①项目概况与服务目标②服务团队配置③核心服务内容④质量保障体系⑤技术支持与系统维护。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提供针对性强且完善的运营方案，包括但不限于①人员管理②运营管理③业务能力保障④数据运营分析⑤质量监控体系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配套产品性能参数</w:t>
            </w:r>
          </w:p>
        </w:tc>
        <w:tc>
          <w:tcPr>
            <w:tcW w:type="dxa" w:w="2492"/>
          </w:tcPr>
          <w:p>
            <w:pPr>
              <w:pStyle w:val="null3"/>
            </w:pPr>
            <w:r>
              <w:rPr>
                <w:rFonts w:ascii="仿宋_GB2312" w:hAnsi="仿宋_GB2312" w:cs="仿宋_GB2312" w:eastAsia="仿宋_GB2312"/>
              </w:rPr>
              <w:t>针对本项目提供配套产品性能参数，包括但不限于①硬件设备性能参数②软件系统性能参数 ③知识库管理系统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岗前培训措施</w:t>
            </w:r>
          </w:p>
        </w:tc>
        <w:tc>
          <w:tcPr>
            <w:tcW w:type="dxa" w:w="2492"/>
          </w:tcPr>
          <w:p>
            <w:pPr>
              <w:pStyle w:val="null3"/>
            </w:pPr>
            <w:r>
              <w:rPr>
                <w:rFonts w:ascii="仿宋_GB2312" w:hAnsi="仿宋_GB2312" w:cs="仿宋_GB2312" w:eastAsia="仿宋_GB2312"/>
              </w:rPr>
              <w:t>针对本项目提供岗前培训措施，包括但不限于①基础认知培训②业务知识培训③系统操作培训④服务技能培训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应急处理突发事件的具体措施</w:t>
            </w:r>
          </w:p>
        </w:tc>
        <w:tc>
          <w:tcPr>
            <w:tcW w:type="dxa" w:w="2492"/>
          </w:tcPr>
          <w:p>
            <w:pPr>
              <w:pStyle w:val="null3"/>
            </w:pPr>
            <w:r>
              <w:rPr>
                <w:rFonts w:ascii="仿宋_GB2312" w:hAnsi="仿宋_GB2312" w:cs="仿宋_GB2312" w:eastAsia="仿宋_GB2312"/>
              </w:rPr>
              <w:t>针对本项目提供应急处理突发事件的具体措施，包括但不限于①应急组织架构与职责②突发事件分类与预警机制③分级应急处置流程④应急资源保障⑤事后复盘与优化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拟投入本项目负责人</w:t>
            </w:r>
          </w:p>
        </w:tc>
        <w:tc>
          <w:tcPr>
            <w:tcW w:type="dxa" w:w="2492"/>
          </w:tcPr>
          <w:p>
            <w:pPr>
              <w:pStyle w:val="null3"/>
            </w:pPr>
            <w:r>
              <w:rPr>
                <w:rFonts w:ascii="仿宋_GB2312" w:hAnsi="仿宋_GB2312" w:cs="仿宋_GB2312" w:eastAsia="仿宋_GB2312"/>
              </w:rPr>
              <w:t>具备通信、管理、客服相关专业大专及以上学历，得3分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拟投入本项目成员</w:t>
            </w:r>
          </w:p>
        </w:tc>
        <w:tc>
          <w:tcPr>
            <w:tcW w:type="dxa" w:w="2492"/>
          </w:tcPr>
          <w:p>
            <w:pPr>
              <w:pStyle w:val="null3"/>
            </w:pPr>
            <w:r>
              <w:rPr>
                <w:rFonts w:ascii="仿宋_GB2312" w:hAnsi="仿宋_GB2312" w:cs="仿宋_GB2312" w:eastAsia="仿宋_GB2312"/>
              </w:rPr>
              <w:t>提供拟投入本项目成员名单，包括姓名、年龄、学历、职位、毕业证书、项目经历等，包括但不限于①班组管理②质检培训③话务等实施人员④团队人员数量⑤岗位配置⑥人员综合素质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控制措施</w:t>
            </w:r>
          </w:p>
        </w:tc>
        <w:tc>
          <w:tcPr>
            <w:tcW w:type="dxa" w:w="2492"/>
          </w:tcPr>
          <w:p>
            <w:pPr>
              <w:pStyle w:val="null3"/>
            </w:pPr>
            <w:r>
              <w:rPr>
                <w:rFonts w:ascii="仿宋_GB2312" w:hAnsi="仿宋_GB2312" w:cs="仿宋_GB2312" w:eastAsia="仿宋_GB2312"/>
              </w:rPr>
              <w:t>针对本项目提供控制措施，包括但不限于①质量控制措施②成本控制措施③风险控制措施④进度控制措施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本项目提供的承诺，包括但不限于①服务质量承诺②运营保障承诺③合规安全承诺④售后与履约承诺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合理化建议，包括但不限于①运营效率提升②服务质量优化③成本控制④技术升级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