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版本号：ZJZC2025112500420251218001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西安市雁塔区经九路西侧规划路项目考古发掘劳务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ZJZC20251125004</w:t>
      </w:r>
      <w:r>
        <w:br/>
      </w:r>
      <w:r>
        <w:br/>
      </w:r>
      <w:r>
        <w:br/>
      </w:r>
    </w:p>
    <w:p>
      <w:pPr>
        <w:pStyle w:val="null3"/>
        <w:jc w:val="center"/>
        <w:outlineLvl w:val="2"/>
      </w:pPr>
      <w:r>
        <w:rPr>
          <w:rFonts w:ascii="仿宋_GB2312" w:hAnsi="仿宋_GB2312" w:cs="仿宋_GB2312" w:eastAsia="仿宋_GB2312"/>
          <w:sz w:val="28"/>
          <w:b/>
        </w:rPr>
        <w:t>西安市雁塔区住房和城乡建设局</w:t>
      </w:r>
    </w:p>
    <w:p>
      <w:pPr>
        <w:pStyle w:val="null3"/>
        <w:jc w:val="center"/>
        <w:outlineLvl w:val="2"/>
      </w:pPr>
      <w:r>
        <w:rPr>
          <w:rFonts w:ascii="仿宋_GB2312" w:hAnsi="仿宋_GB2312" w:cs="仿宋_GB2312" w:eastAsia="仿宋_GB2312"/>
          <w:sz w:val="28"/>
          <w:b/>
        </w:rPr>
        <w:t>中建华阳建设项目管理有限责任公司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中建华阳建设项目管理有限责任公司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西安市雁塔区住房和城乡建设局</w:t>
      </w:r>
      <w:r>
        <w:rPr>
          <w:rFonts w:ascii="仿宋_GB2312" w:hAnsi="仿宋_GB2312" w:cs="仿宋_GB2312" w:eastAsia="仿宋_GB2312"/>
        </w:rPr>
        <w:t>委托，拟对</w:t>
      </w:r>
      <w:r>
        <w:rPr>
          <w:rFonts w:ascii="仿宋_GB2312" w:hAnsi="仿宋_GB2312" w:cs="仿宋_GB2312" w:eastAsia="仿宋_GB2312"/>
        </w:rPr>
        <w:t>西安市雁塔区经九路西侧规划路项目考古发掘劳务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ZJZC20251125004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西安市雁塔区经九路西侧规划路项目考古发掘劳务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采购为西安市雁塔区经九路西侧规划路项目考古发掘劳务，本项目位于陕西省西安市雁塔区，西延路以东，青龙路以南，经九路以西，西影路以北；经考古勘探发现灰坑3处、道路1条。具体内容详见本项目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采购包1（西安市雁塔区经九路西侧规划路项目考古发掘劳务）：属于专门面向中小企业采购。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西安市翠华路146号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西安市雁塔区住房和城乡建设局经办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029-83692920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中建华阳建设项目管理有限责任公司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陕西省西安市新城区陕西省西安市新城区长乐中路242号金花新都汇A座写字楼24层06室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董喜峰、裴慢慢、孙晓梅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15102971384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招标代理服务收费管理暂行办法》的通知（计价格[2002]1980号）文件、发改价格[2011]534号文件及国家发改委印发的《关于进一步放开建设项目专业服务价格的通知》[2015]299号文件的收取标准计取，不足6000.00元按6000.00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西安市雁塔区住房和城乡建设局</w:t>
      </w:r>
      <w:r>
        <w:rPr>
          <w:rFonts w:ascii="仿宋_GB2312" w:hAnsi="仿宋_GB2312" w:cs="仿宋_GB2312" w:eastAsia="仿宋_GB2312"/>
        </w:rPr>
        <w:t>和</w:t>
      </w:r>
      <w:r>
        <w:rPr>
          <w:rFonts w:ascii="仿宋_GB2312" w:hAnsi="仿宋_GB2312" w:cs="仿宋_GB2312" w:eastAsia="仿宋_GB2312"/>
        </w:rPr>
        <w:t>中建华阳建设项目管理有限责任公司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中建华阳建设项目管理有限责任公司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中建华阳建设项目管理有限责任公司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符合国家、省、市及行业相关规定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联系人：董喜峰、裴慢慢、孙晓梅</w:t>
      </w:r>
    </w:p>
    <w:p>
      <w:pPr>
        <w:pStyle w:val="null3"/>
      </w:pPr>
      <w:r>
        <w:rPr>
          <w:rFonts w:ascii="仿宋_GB2312" w:hAnsi="仿宋_GB2312" w:cs="仿宋_GB2312" w:eastAsia="仿宋_GB2312"/>
        </w:rPr>
        <w:t>联系电话：15102971384</w:t>
      </w:r>
    </w:p>
    <w:p>
      <w:pPr>
        <w:pStyle w:val="null3"/>
      </w:pPr>
      <w:r>
        <w:rPr>
          <w:rFonts w:ascii="仿宋_GB2312" w:hAnsi="仿宋_GB2312" w:cs="仿宋_GB2312" w:eastAsia="仿宋_GB2312"/>
        </w:rPr>
        <w:t>地址：陕西省西安市新城区长乐中路242号金花新都汇A座写字楼24层06室</w:t>
      </w:r>
    </w:p>
    <w:p>
      <w:pPr>
        <w:pStyle w:val="null3"/>
      </w:pPr>
      <w:r>
        <w:rPr>
          <w:rFonts w:ascii="仿宋_GB2312" w:hAnsi="仿宋_GB2312" w:cs="仿宋_GB2312" w:eastAsia="仿宋_GB2312"/>
        </w:rPr>
        <w:t>邮编：710032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采购为西安市雁塔区经九路西侧规划路项目考古发掘劳务，本项目位于陕西省西安市雁塔区，西延路以东，青龙路以南，经九路以西，西影路以北；经考古勘探发现灰坑3处、道路1条。具体内容详见本项目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西安市雁塔区经九路西侧规划路项目考古发掘劳务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标的名称：西安市雁塔区经九路西侧规划路项目考古发掘劳务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18"/>
                <w:b/>
              </w:rPr>
              <w:t>一、</w:t>
            </w:r>
            <w:r>
              <w:rPr>
                <w:rFonts w:ascii="仿宋_GB2312" w:hAnsi="仿宋_GB2312" w:cs="仿宋_GB2312" w:eastAsia="仿宋_GB2312"/>
                <w:sz w:val="18"/>
                <w:b/>
              </w:rPr>
              <w:t>采购</w:t>
            </w:r>
            <w:r>
              <w:rPr>
                <w:rFonts w:ascii="仿宋_GB2312" w:hAnsi="仿宋_GB2312" w:cs="仿宋_GB2312" w:eastAsia="仿宋_GB2312"/>
                <w:sz w:val="18"/>
                <w:b/>
              </w:rPr>
              <w:t>内容</w:t>
            </w:r>
          </w:p>
          <w:p>
            <w:pPr>
              <w:pStyle w:val="null3"/>
              <w:ind w:firstLine="480"/>
              <w:jc w:val="both"/>
            </w:pPr>
            <w:r>
              <w:rPr>
                <w:rFonts w:ascii="仿宋_GB2312" w:hAnsi="仿宋_GB2312" w:cs="仿宋_GB2312" w:eastAsia="仿宋_GB2312"/>
                <w:sz w:val="21"/>
              </w:rPr>
              <w:t>西安市雁塔区经九路西侧规划路项目考古发掘劳务，本项目位于陕西省西安市雁塔区，西延路以东，青龙路以南，经九路以西，西影路以北。</w:t>
            </w:r>
          </w:p>
          <w:p>
            <w:pPr>
              <w:pStyle w:val="null3"/>
              <w:ind w:left="480"/>
              <w:jc w:val="both"/>
            </w:pPr>
            <w:r>
              <w:rPr>
                <w:rFonts w:ascii="仿宋_GB2312" w:hAnsi="仿宋_GB2312" w:cs="仿宋_GB2312" w:eastAsia="仿宋_GB2312"/>
                <w:sz w:val="21"/>
              </w:rPr>
              <w:t>四至坐标：</w:t>
            </w:r>
            <w:r>
              <w:br/>
            </w:r>
            <w:r>
              <w:rPr>
                <w:rFonts w:ascii="仿宋_GB2312" w:hAnsi="仿宋_GB2312" w:cs="仿宋_GB2312" w:eastAsia="仿宋_GB2312"/>
                <w:sz w:val="21"/>
              </w:rPr>
              <w:t xml:space="preserve"> 西北角坐标：X=3789867.692   Y=36589746.382</w:t>
            </w:r>
          </w:p>
          <w:p>
            <w:pPr>
              <w:pStyle w:val="null3"/>
              <w:ind w:firstLine="480"/>
              <w:jc w:val="both"/>
            </w:pPr>
            <w:r>
              <w:rPr>
                <w:rFonts w:ascii="仿宋_GB2312" w:hAnsi="仿宋_GB2312" w:cs="仿宋_GB2312" w:eastAsia="仿宋_GB2312"/>
                <w:sz w:val="21"/>
              </w:rPr>
              <w:t>东北角坐标：X=3789888.350   Y=36589786.362</w:t>
            </w:r>
          </w:p>
          <w:p>
            <w:pPr>
              <w:pStyle w:val="null3"/>
              <w:ind w:firstLine="480"/>
              <w:jc w:val="both"/>
            </w:pPr>
            <w:r>
              <w:rPr>
                <w:rFonts w:ascii="仿宋_GB2312" w:hAnsi="仿宋_GB2312" w:cs="仿宋_GB2312" w:eastAsia="仿宋_GB2312"/>
                <w:sz w:val="21"/>
              </w:rPr>
              <w:t>西南角坐标：X=3789460.104   Y=36589970.041</w:t>
            </w:r>
          </w:p>
          <w:p>
            <w:pPr>
              <w:pStyle w:val="null3"/>
              <w:ind w:firstLine="480"/>
              <w:jc w:val="both"/>
            </w:pPr>
            <w:r>
              <w:rPr>
                <w:rFonts w:ascii="仿宋_GB2312" w:hAnsi="仿宋_GB2312" w:cs="仿宋_GB2312" w:eastAsia="仿宋_GB2312"/>
                <w:sz w:val="21"/>
              </w:rPr>
              <w:t>东南角坐标：X=3789469.263   Y=36589987.822</w:t>
            </w:r>
          </w:p>
          <w:p>
            <w:pPr>
              <w:pStyle w:val="null3"/>
              <w:ind w:firstLine="482"/>
              <w:jc w:val="both"/>
            </w:pPr>
            <w:r>
              <w:rPr>
                <w:rFonts w:ascii="仿宋_GB2312" w:hAnsi="仿宋_GB2312" w:cs="仿宋_GB2312" w:eastAsia="仿宋_GB2312"/>
                <w:sz w:val="21"/>
                <w:b/>
              </w:rPr>
              <w:t>二、</w:t>
            </w:r>
            <w:r>
              <w:rPr>
                <w:rFonts w:ascii="仿宋_GB2312" w:hAnsi="仿宋_GB2312" w:cs="仿宋_GB2312" w:eastAsia="仿宋_GB2312"/>
                <w:sz w:val="21"/>
                <w:b/>
              </w:rPr>
              <w:t>项目实施地点：</w:t>
            </w:r>
            <w:r>
              <w:rPr>
                <w:rFonts w:ascii="仿宋_GB2312" w:hAnsi="仿宋_GB2312" w:cs="仿宋_GB2312" w:eastAsia="仿宋_GB2312"/>
                <w:sz w:val="21"/>
              </w:rPr>
              <w:t>西安市雁塔区</w:t>
            </w:r>
          </w:p>
          <w:p>
            <w:pPr>
              <w:pStyle w:val="null3"/>
              <w:ind w:firstLine="482"/>
              <w:jc w:val="both"/>
            </w:pPr>
            <w:r>
              <w:rPr>
                <w:rFonts w:ascii="仿宋_GB2312" w:hAnsi="仿宋_GB2312" w:cs="仿宋_GB2312" w:eastAsia="仿宋_GB2312"/>
                <w:sz w:val="21"/>
                <w:b/>
              </w:rPr>
              <w:t>三、规范及技术要求：</w:t>
            </w:r>
          </w:p>
          <w:p>
            <w:pPr>
              <w:pStyle w:val="null3"/>
              <w:ind w:firstLine="482"/>
              <w:jc w:val="both"/>
            </w:pPr>
            <w:r>
              <w:rPr>
                <w:rFonts w:ascii="仿宋_GB2312" w:hAnsi="仿宋_GB2312" w:cs="仿宋_GB2312" w:eastAsia="仿宋_GB2312"/>
                <w:sz w:val="21"/>
                <w:b/>
              </w:rPr>
              <w:t>（一）规范：</w:t>
            </w:r>
          </w:p>
          <w:p>
            <w:pPr>
              <w:pStyle w:val="null3"/>
              <w:ind w:firstLine="480"/>
              <w:jc w:val="both"/>
            </w:pPr>
            <w:r>
              <w:rPr>
                <w:rFonts w:ascii="仿宋_GB2312" w:hAnsi="仿宋_GB2312" w:cs="仿宋_GB2312" w:eastAsia="仿宋_GB2312"/>
                <w:sz w:val="21"/>
              </w:rPr>
              <w:t>《中华人民共和国文物保护法》</w:t>
            </w:r>
          </w:p>
          <w:p>
            <w:pPr>
              <w:pStyle w:val="null3"/>
              <w:ind w:firstLine="480"/>
              <w:jc w:val="both"/>
            </w:pPr>
            <w:r>
              <w:rPr>
                <w:rFonts w:ascii="仿宋_GB2312" w:hAnsi="仿宋_GB2312" w:cs="仿宋_GB2312" w:eastAsia="仿宋_GB2312"/>
                <w:sz w:val="21"/>
              </w:rPr>
              <w:t>《中华人民共和国文物保护法实施条例》</w:t>
            </w:r>
          </w:p>
          <w:p>
            <w:pPr>
              <w:pStyle w:val="null3"/>
              <w:ind w:firstLine="480"/>
              <w:jc w:val="both"/>
            </w:pPr>
            <w:r>
              <w:rPr>
                <w:rFonts w:ascii="仿宋_GB2312" w:hAnsi="仿宋_GB2312" w:cs="仿宋_GB2312" w:eastAsia="仿宋_GB2312"/>
                <w:sz w:val="21"/>
              </w:rPr>
              <w:t>《陕西省文物保护条例》</w:t>
            </w:r>
          </w:p>
          <w:p>
            <w:pPr>
              <w:pStyle w:val="null3"/>
              <w:ind w:firstLine="480"/>
              <w:jc w:val="both"/>
            </w:pPr>
            <w:r>
              <w:rPr>
                <w:rFonts w:ascii="仿宋_GB2312" w:hAnsi="仿宋_GB2312" w:cs="仿宋_GB2312" w:eastAsia="仿宋_GB2312"/>
                <w:sz w:val="21"/>
              </w:rPr>
              <w:t>国家文物局颁布的《田野考古工作规程》</w:t>
            </w:r>
          </w:p>
          <w:p>
            <w:pPr>
              <w:pStyle w:val="null3"/>
              <w:ind w:firstLine="480"/>
              <w:jc w:val="both"/>
            </w:pPr>
            <w:r>
              <w:rPr>
                <w:rFonts w:ascii="仿宋_GB2312" w:hAnsi="仿宋_GB2312" w:cs="仿宋_GB2312" w:eastAsia="仿宋_GB2312"/>
                <w:sz w:val="21"/>
              </w:rPr>
              <w:t>国家文物局</w:t>
            </w:r>
            <w:r>
              <w:rPr>
                <w:rFonts w:ascii="仿宋_GB2312" w:hAnsi="仿宋_GB2312" w:cs="仿宋_GB2312" w:eastAsia="仿宋_GB2312"/>
                <w:sz w:val="21"/>
              </w:rPr>
              <w:t>【</w:t>
            </w:r>
            <w:r>
              <w:rPr>
                <w:rFonts w:ascii="仿宋_GB2312" w:hAnsi="仿宋_GB2312" w:cs="仿宋_GB2312" w:eastAsia="仿宋_GB2312"/>
                <w:sz w:val="21"/>
              </w:rPr>
              <w:t>90</w:t>
            </w:r>
            <w:r>
              <w:rPr>
                <w:rFonts w:ascii="仿宋_GB2312" w:hAnsi="仿宋_GB2312" w:cs="仿宋_GB2312" w:eastAsia="仿宋_GB2312"/>
                <w:sz w:val="21"/>
              </w:rPr>
              <w:t>】</w:t>
            </w:r>
            <w:r>
              <w:rPr>
                <w:rFonts w:ascii="仿宋_GB2312" w:hAnsi="仿宋_GB2312" w:cs="仿宋_GB2312" w:eastAsia="仿宋_GB2312"/>
                <w:sz w:val="21"/>
              </w:rPr>
              <w:t>248号文件</w:t>
            </w:r>
          </w:p>
          <w:p>
            <w:pPr>
              <w:pStyle w:val="null3"/>
              <w:ind w:firstLine="480"/>
              <w:jc w:val="both"/>
            </w:pPr>
            <w:r>
              <w:rPr>
                <w:rFonts w:ascii="仿宋_GB2312" w:hAnsi="仿宋_GB2312" w:cs="仿宋_GB2312" w:eastAsia="仿宋_GB2312"/>
                <w:sz w:val="21"/>
              </w:rPr>
              <w:t>陕文物发</w:t>
            </w:r>
            <w:r>
              <w:rPr>
                <w:rFonts w:ascii="仿宋_GB2312" w:hAnsi="仿宋_GB2312" w:cs="仿宋_GB2312" w:eastAsia="仿宋_GB2312"/>
                <w:sz w:val="21"/>
              </w:rPr>
              <w:t>【</w:t>
            </w:r>
            <w:r>
              <w:rPr>
                <w:rFonts w:ascii="仿宋_GB2312" w:hAnsi="仿宋_GB2312" w:cs="仿宋_GB2312" w:eastAsia="仿宋_GB2312"/>
                <w:sz w:val="21"/>
              </w:rPr>
              <w:t>2014</w:t>
            </w:r>
            <w:r>
              <w:rPr>
                <w:rFonts w:ascii="仿宋_GB2312" w:hAnsi="仿宋_GB2312" w:cs="仿宋_GB2312" w:eastAsia="仿宋_GB2312"/>
                <w:sz w:val="21"/>
              </w:rPr>
              <w:t>】</w:t>
            </w:r>
            <w:r>
              <w:rPr>
                <w:rFonts w:ascii="仿宋_GB2312" w:hAnsi="仿宋_GB2312" w:cs="仿宋_GB2312" w:eastAsia="仿宋_GB2312"/>
                <w:sz w:val="21"/>
              </w:rPr>
              <w:t>147号文件</w:t>
            </w:r>
          </w:p>
          <w:p>
            <w:pPr>
              <w:pStyle w:val="null3"/>
              <w:ind w:firstLine="482"/>
              <w:jc w:val="both"/>
            </w:pPr>
            <w:r>
              <w:rPr>
                <w:rFonts w:ascii="仿宋_GB2312" w:hAnsi="仿宋_GB2312" w:cs="仿宋_GB2312" w:eastAsia="仿宋_GB2312"/>
                <w:sz w:val="21"/>
                <w:b/>
              </w:rPr>
              <w:t>（二）技术要求：</w:t>
            </w:r>
          </w:p>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队伍人员要求：</w:t>
            </w:r>
          </w:p>
          <w:p>
            <w:pPr>
              <w:pStyle w:val="null3"/>
              <w:ind w:firstLine="480"/>
              <w:jc w:val="both"/>
            </w:pPr>
            <w:r>
              <w:rPr>
                <w:rFonts w:ascii="仿宋_GB2312" w:hAnsi="仿宋_GB2312" w:cs="仿宋_GB2312" w:eastAsia="仿宋_GB2312"/>
                <w:sz w:val="21"/>
              </w:rPr>
              <w:t>具有考古发掘劳务服务工作经验。</w:t>
            </w:r>
          </w:p>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具体工作内容</w:t>
            </w:r>
          </w:p>
          <w:p>
            <w:pPr>
              <w:pStyle w:val="null3"/>
              <w:ind w:firstLine="480"/>
              <w:jc w:val="both"/>
            </w:pPr>
            <w:r>
              <w:rPr>
                <w:rFonts w:ascii="仿宋_GB2312" w:hAnsi="仿宋_GB2312" w:cs="仿宋_GB2312" w:eastAsia="仿宋_GB2312"/>
                <w:sz w:val="21"/>
              </w:rPr>
              <w:t>（1）中标单位根据《</w:t>
            </w:r>
            <w:r>
              <w:rPr>
                <w:rFonts w:ascii="仿宋_GB2312" w:hAnsi="仿宋_GB2312" w:cs="仿宋_GB2312" w:eastAsia="仿宋_GB2312"/>
                <w:sz w:val="21"/>
              </w:rPr>
              <w:t>西安市雁塔区经九路西侧规划路项目</w:t>
            </w:r>
            <w:r>
              <w:rPr>
                <w:rFonts w:ascii="仿宋_GB2312" w:hAnsi="仿宋_GB2312" w:cs="仿宋_GB2312" w:eastAsia="仿宋_GB2312"/>
                <w:sz w:val="21"/>
              </w:rPr>
              <w:t>考古勘探工作报告</w:t>
            </w:r>
            <w:r>
              <w:rPr>
                <w:rFonts w:ascii="仿宋_GB2312" w:hAnsi="仿宋_GB2312" w:cs="仿宋_GB2312" w:eastAsia="仿宋_GB2312"/>
                <w:sz w:val="21"/>
              </w:rPr>
              <w:t>》</w:t>
            </w:r>
            <w:r>
              <w:rPr>
                <w:rFonts w:ascii="仿宋_GB2312" w:hAnsi="仿宋_GB2312" w:cs="仿宋_GB2312" w:eastAsia="仿宋_GB2312"/>
                <w:sz w:val="21"/>
              </w:rPr>
              <w:t>，共发现的灰坑3处、道路1条</w:t>
            </w:r>
            <w:r>
              <w:rPr>
                <w:rFonts w:ascii="仿宋_GB2312" w:hAnsi="仿宋_GB2312" w:cs="仿宋_GB2312" w:eastAsia="仿宋_GB2312"/>
                <w:sz w:val="21"/>
              </w:rPr>
              <w:t>组织考古发掘及出土文物现场保护等工作，</w:t>
            </w:r>
            <w:r>
              <w:rPr>
                <w:rFonts w:ascii="仿宋_GB2312" w:hAnsi="仿宋_GB2312" w:cs="仿宋_GB2312" w:eastAsia="仿宋_GB2312"/>
                <w:sz w:val="21"/>
              </w:rPr>
              <w:t>并</w:t>
            </w:r>
            <w:r>
              <w:rPr>
                <w:rFonts w:ascii="仿宋_GB2312" w:hAnsi="仿宋_GB2312" w:cs="仿宋_GB2312" w:eastAsia="仿宋_GB2312"/>
                <w:sz w:val="21"/>
              </w:rPr>
              <w:t>协助项目考古发掘技术单位完成《</w:t>
            </w:r>
            <w:r>
              <w:rPr>
                <w:rFonts w:ascii="仿宋_GB2312" w:hAnsi="仿宋_GB2312" w:cs="仿宋_GB2312" w:eastAsia="仿宋_GB2312"/>
                <w:sz w:val="21"/>
              </w:rPr>
              <w:t>西安市雁塔区经九路西侧规划路项目</w:t>
            </w:r>
            <w:r>
              <w:rPr>
                <w:rFonts w:ascii="仿宋_GB2312" w:hAnsi="仿宋_GB2312" w:cs="仿宋_GB2312" w:eastAsia="仿宋_GB2312"/>
                <w:sz w:val="21"/>
              </w:rPr>
              <w:t>考古发掘工作报告》。</w:t>
            </w:r>
          </w:p>
          <w:p>
            <w:pPr>
              <w:pStyle w:val="null3"/>
              <w:ind w:firstLine="480"/>
              <w:jc w:val="both"/>
            </w:pPr>
            <w:r>
              <w:rPr>
                <w:rFonts w:ascii="仿宋_GB2312" w:hAnsi="仿宋_GB2312" w:cs="仿宋_GB2312" w:eastAsia="仿宋_GB2312"/>
                <w:sz w:val="21"/>
              </w:rPr>
              <w:t>（2）考古发掘进场前，采购人负责清除现场植被，青苗补偿等，以便发掘工作施工前放线。中标单位做好现场绿网覆盖等环境保护措施，以满足政府环境保护要求，排除可能干扰发掘工作的环境因素，以保证考古发掘工作的顺利进行。</w:t>
            </w:r>
          </w:p>
          <w:p>
            <w:pPr>
              <w:pStyle w:val="null3"/>
              <w:ind w:firstLine="480"/>
              <w:jc w:val="both"/>
            </w:pPr>
            <w:r>
              <w:rPr>
                <w:rFonts w:ascii="仿宋_GB2312" w:hAnsi="仿宋_GB2312" w:cs="仿宋_GB2312" w:eastAsia="仿宋_GB2312"/>
                <w:sz w:val="21"/>
              </w:rPr>
              <w:t>（3）采购人协调当地各种关系，排除可能干扰发掘工作的各项人为因素，以保证考古发掘工作的顺利进行。中标单位协助发掘技术单位对接相关部门现场检查、验收等工作。</w:t>
            </w:r>
          </w:p>
          <w:p>
            <w:pPr>
              <w:pStyle w:val="null3"/>
              <w:ind w:firstLine="480"/>
              <w:jc w:val="both"/>
            </w:pPr>
            <w:r>
              <w:rPr>
                <w:rFonts w:ascii="仿宋_GB2312" w:hAnsi="仿宋_GB2312" w:cs="仿宋_GB2312" w:eastAsia="仿宋_GB2312"/>
                <w:sz w:val="21"/>
              </w:rPr>
              <w:t>（4）在文物发掘保护技术单位的指导下，为考古发掘提供文物发掘保护、看护、配合发掘清理中的民工劳务工作。承担考古发掘所需的土方开挖和运输工程。作业过程中必须严格执行《中华人民共和国民法典》、《中华人民共和国文物保护法》以及国家文物局《田野考古工作规程》等有关法规，确保施工过程中古墓葬及地下文物不受破坏。科学发掘，精确记录，确保发掘质量。根据现场考古发掘的需要配备足够的民工、机械及现场管理人员，所有人员必须听从考古发掘现场负责人员的指挥，以满足现场文物发掘所需土方开挖、运输等工作。土方开挖运输后堆放场地需满足采购人要求。</w:t>
            </w:r>
          </w:p>
          <w:p>
            <w:pPr>
              <w:pStyle w:val="null3"/>
              <w:ind w:firstLine="480"/>
              <w:jc w:val="both"/>
            </w:pPr>
            <w:r>
              <w:rPr>
                <w:rFonts w:ascii="仿宋_GB2312" w:hAnsi="仿宋_GB2312" w:cs="仿宋_GB2312" w:eastAsia="仿宋_GB2312"/>
                <w:sz w:val="21"/>
              </w:rPr>
              <w:t>（5）按照国家及行业对文物发掘现场的相关法律法规、行业规定，且在文物挖掘保护技术单位的指导下，承担考古发掘所需的安全保卫工作。在工地现场选取合适位置自行搭建安全保卫值班室，并自行负责现场考古发掘所需的临水、临电设施。在考古发掘区域四周设置围挡形成封闭的工作区域，并在工地四周及出入口设置安全警示标志，安装监控预警等设备。负责安排足够的专职安全保卫人员，昼夜24小时在工地值班巡逻，并根据考古挖掘单位要求在每一个考古发掘单位上方架设标准数量、规格的摄像监控，做到全程无死角监控发掘过程。安全保卫工作必须严格按照《考古工地安全保卫工作管理规范》执行；并接受考古发掘单位工地负责人及公安科人员的检查督查；负责所有考古工地的安全记录（包括值班记录、人员车辆出入登记、所有录像监控记录数据等），并在工地结束后必须全部提交考古发掘单位公安科存档。</w:t>
            </w:r>
          </w:p>
          <w:p>
            <w:pPr>
              <w:pStyle w:val="null3"/>
              <w:ind w:firstLine="480"/>
              <w:jc w:val="both"/>
            </w:pPr>
            <w:r>
              <w:rPr>
                <w:rFonts w:ascii="仿宋_GB2312" w:hAnsi="仿宋_GB2312" w:cs="仿宋_GB2312" w:eastAsia="仿宋_GB2312"/>
                <w:sz w:val="21"/>
              </w:rPr>
              <w:t>（6）按照国家及行业对文物发掘现场的相关法律法规、行业规定，且在文物挖掘保护技术单位的指导下，承担考古发掘所需的支护加固工作。做好发掘过程中必须的支护加固等工作，对考古发掘单位提出的问题和建议应及时整改到位，确保安全施工。</w:t>
            </w:r>
          </w:p>
          <w:p>
            <w:pPr>
              <w:pStyle w:val="null3"/>
              <w:ind w:firstLine="480"/>
              <w:jc w:val="both"/>
            </w:pPr>
            <w:r>
              <w:rPr>
                <w:rFonts w:ascii="仿宋_GB2312" w:hAnsi="仿宋_GB2312" w:cs="仿宋_GB2312" w:eastAsia="仿宋_GB2312"/>
                <w:sz w:val="21"/>
              </w:rPr>
              <w:t>（7）中标单位做好现场文物保护，并全权负责管理好文物挖掘清理保护过程中使用的机械、车辆及其他工器具以及人员，包括施工现场和生活场所等凡是中标单位人员活动的地方。规范人员及民工的生活、工作、言行，其人身安全和财务安全等均由中标单位自行负责。配合采购人及考古发掘单位出具考古发掘所需所有资料。</w:t>
            </w:r>
          </w:p>
          <w:p>
            <w:pPr>
              <w:pStyle w:val="null3"/>
            </w:pPr>
            <w:r>
              <w:rPr>
                <w:rFonts w:ascii="仿宋_GB2312" w:hAnsi="仿宋_GB2312" w:cs="仿宋_GB2312" w:eastAsia="仿宋_GB2312"/>
                <w:sz w:val="21"/>
              </w:rPr>
              <w:t>3、工期：自采购人通知中标单位进场开展工作之日起，中标单位45个工作日内完成考古发掘工作。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具有考古发掘劳务服务工作经验，供应商须提供针对本项目的详细人员配备情况。</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提供具有履行本合同所必需的设备。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自采购人通知中标单位进场开展工作之日起，中标单位45个工作日内完成考古发掘工作。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符合国家、省、市及行业相关规定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合同签订并进场发掘后10个工作日内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发掘工作完成全部工程总量的50%并经甲方书面确认后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待发掘技术单位报请主管部门完成最终验收工作并取得相关文物报告后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见合同条款约定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各供应商应根据“陕西省财政厅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二）为顺利推进政府采购电子化交易平台应用工作，供应商需要在线提交所有通过电子化交易平台实施的政府采购项目的投标文件，同时，中标供应商领取中标通知书时，应线下提交纸质版投标文件，正本壹份、副本贰套至代理机构。 线上电子投标文件与纸质投标文件一致;若正本和副本不符，以正本为准。（三）落实政府采购政策需满足的资格要求：依据《中华人民共和国政府采购法》和《中华人民共和国政府采购法实施条例》的有关规定，落实政府采购“优先购买节能环保产品、扶持小微企业、监狱企业、福利企业”等相关政策。1、《政府采购促进中小企业发展管理办法》（财库〔2020〕46号）、《陕西省财政厅关于进一步加大政府采购支持中小企业力度的通知》（陕财办采〔2022〕5号）、《陕西省财政厅关于落实政府采购支持中小企业政策有关事项的通知》（陕财办采〔2022〕10号）、《财政部关于进一步加大政府采购支持中小企业力度》的通知（财库〔2022〕19号）；2、《财政部司法部关于政府采购支持监狱企业发展有关问题的通知》（财库〔2014〕68号）；3、《国务院办公厅关于建立政府强制采购节能产品制度的通知》（国办发〔2007〕51号）；4、《三部门联合发布关于促进残疾人就业政府采购政策的通知》（财库〔2017〕141号）；5、《财政部发展改革委生态环境部市场监管总局关于调整优化节能产品、环境标志产品政府采购执行机制的通知》（财库〔2019〕9号）；6、关于印发环境标志产品政府采购品目清单的通知（财库〔2019〕18号）；7、《关于印发节能产品政府采购品目清单的通知》（财库〔2019〕19号）；8、《财政部、农业农村部、国家乡村振兴局关于运用政府采购政策支持乡村产业振兴的通知》（财库〔2021〕19号）；9、《陕西省中小企业政府采购信用融资办法》（陕财办采〔2018〕23号）、陕西省财政厅、中国人民银行西安分行关于深入推进政府采购信用融资业务的通知（陕财办采〔2023〕5号）；10、《关于政府采购支持绿色建材促进建筑品质提升试点工作的通知》（财库〔2020〕31号）；11、融资平台：根据《陕西省财政厅关于加快推进我省中小企业政府采购信用融资工作的通知》陕财办采〔2020〕15号文件精神，有融资需求的供应商可根据自身情况，在陕西省政府采购信用融资平台（含各市分平台）自主选择金融机构及其融资产品，凭政府采购中标（成交）通知书或政府采购合同向金融机构提出融资申请；12、其他需要落实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拟投入本项目的人员配置情况表.docx 中小企业声明函 报价表 供应商认为应提交的相关资格证明材料.docx 响应文件封面 分项报价表.docx 供应商资格要求.docx 拟投入本项目的设备仪器表.docx 残疾人福利性单位声明函 标的清单 供应商近三年类似项目业绩证明材料.docx 响应函 商务、服务内容偏离表、技术响应偏差表.docx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w:t>
            </w:r>
          </w:p>
        </w:tc>
        <w:tc>
          <w:tcPr>
            <w:tcW w:type="dxa" w:w="1661"/>
          </w:tcPr>
          <w:p>
            <w:pPr>
              <w:pStyle w:val="null3"/>
            </w:pPr>
            <w:r>
              <w:rPr>
                <w:rFonts w:ascii="仿宋_GB2312" w:hAnsi="仿宋_GB2312" w:cs="仿宋_GB2312" w:eastAsia="仿宋_GB2312"/>
              </w:rPr>
              <w:t>拟投入本项目的人员配置情况表.docx 中小企业声明函 报价表 供应商认为应提交的相关资格证明材料.docx 响应文件封面 分项报价表.docx 供应商资格要求.docx 拟投入本项目的设备仪器表.docx 残疾人福利性单位声明函 标的清单 供应商近三年类似项目业绩证明材料.docx 响应函 商务、服务内容偏离表、技术响应偏差表.docx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1）响应报价符合唯一性要求：（2）响应报价表填写符合要求；（3）计量单位、报价货币均符合磋商文件要求；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商务、服务内容偏离表、技术响应偏差表.docx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拟投入本项目的人员配置情况表.docx 中小企业声明函 报价表 供应商认为应提交的相关资格证明材料.docx 响应文件封面 分项报价表.docx 供应商资格要求.docx 拟投入本项目的设备仪器表.docx 残疾人福利性单位声明函 标的清单 供应商近三年类似项目业绩证明材料.docx 响应函 商务、服务内容偏离表、技术响应偏差表.docx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供应商针对本项目编制合理的考古发掘施工方案。 方案内容科学合理、针对性强、可行性强、符合实际情况的计12分； 方案内容齐全、有一定针对性、可行性的计8分； 方案内容基本齐全，针对性、可行性一般计4分； 方案内容不齐全，没有可行性计2分。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供应商针对本项目提供安全保卫服务保障措施，包括组织保障、人员保障，以及在工作中突发的紧急安全措施等。 保障措施内容详细完善、规范、明确计12分； 保障措施内容齐全，基本规范、明确计8分； 保障措施基本完善计4分； 保障措施不完善计2分。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tc>
      </w:tr>
      <w:tr>
        <w:tc>
          <w:tcPr>
            <w:tcW w:type="dxa" w:w="831"/>
            <w:vMerge/>
          </w:tcPr>
          <w:p/>
        </w:tc>
        <w:tc>
          <w:tcPr>
            <w:tcW w:type="dxa" w:w="1661"/>
          </w:tcPr>
          <w:p>
            <w:pPr>
              <w:pStyle w:val="null3"/>
            </w:pPr>
            <w:r>
              <w:rPr>
                <w:rFonts w:ascii="仿宋_GB2312" w:hAnsi="仿宋_GB2312" w:cs="仿宋_GB2312" w:eastAsia="仿宋_GB2312"/>
              </w:rPr>
              <w:t>技术及环境保护措施</w:t>
            </w:r>
          </w:p>
        </w:tc>
        <w:tc>
          <w:tcPr>
            <w:tcW w:type="dxa" w:w="2492"/>
          </w:tcPr>
          <w:p>
            <w:pPr>
              <w:pStyle w:val="null3"/>
            </w:pPr>
            <w:r>
              <w:rPr>
                <w:rFonts w:ascii="仿宋_GB2312" w:hAnsi="仿宋_GB2312" w:cs="仿宋_GB2312" w:eastAsia="仿宋_GB2312"/>
              </w:rPr>
              <w:t>供应商针对本项目提供的技术组织、环境保护等方面的措施。 措施内容完善、技术组织先进、合理、环境保护措施有针对性的计10分； 技术组织较合理、环境保护措施有一定针对性的计8分； 技术组织一般、环境保护措施一般的计5分； 只提供了技术组织/环境保护措施之一的计2分。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拟投入本项目的工具设备情况</w:t>
            </w:r>
          </w:p>
        </w:tc>
        <w:tc>
          <w:tcPr>
            <w:tcW w:type="dxa" w:w="2492"/>
          </w:tcPr>
          <w:p>
            <w:pPr>
              <w:pStyle w:val="null3"/>
            </w:pPr>
            <w:r>
              <w:rPr>
                <w:rFonts w:ascii="仿宋_GB2312" w:hAnsi="仿宋_GB2312" w:cs="仿宋_GB2312" w:eastAsia="仿宋_GB2312"/>
              </w:rPr>
              <w:t>供应商针对本项目拟投入本项目的工具设备情况，包括设备新旧程度、数量等。 工具配置齐全，数量充足，满足工作需求计10分； 工具配置较齐全，基本满足工作需求计8分； 有一定的工具配置，设备陈旧计5分； 有工具配置，但不能满足项目需求计2分。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拟投入本项目的设备仪器表.docx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供应商根据项目工作特点，提供工作保密措施情况。 保密措施内容详尽合理、严谨性强计10分； 保密措施内容合理、较严谨计8分； 保密措施有一定内容的计5分； 有保密措施但内容欠缺计2分。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应急预案措施</w:t>
            </w:r>
          </w:p>
        </w:tc>
        <w:tc>
          <w:tcPr>
            <w:tcW w:type="dxa" w:w="2492"/>
          </w:tcPr>
          <w:p>
            <w:pPr>
              <w:pStyle w:val="null3"/>
            </w:pPr>
            <w:r>
              <w:rPr>
                <w:rFonts w:ascii="仿宋_GB2312" w:hAnsi="仿宋_GB2312" w:cs="仿宋_GB2312" w:eastAsia="仿宋_GB2312"/>
              </w:rPr>
              <w:t>供应商根据项目工作特点（包括季节天气防洪防汛等各种突发事件）提供完善的的应急预案措施。 应急预案措施科学合理、全面，实施性强，有针对性计10分； 应急预案措施较科学合理、较全面，有一定实施性计8分； 应急预案措施基本合理、全面，实施性一般计5分； 有应急预案，实施性较差计2分。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工作配合保障措施</w:t>
            </w:r>
          </w:p>
        </w:tc>
        <w:tc>
          <w:tcPr>
            <w:tcW w:type="dxa" w:w="2492"/>
          </w:tcPr>
          <w:p>
            <w:pPr>
              <w:pStyle w:val="null3"/>
            </w:pPr>
            <w:r>
              <w:rPr>
                <w:rFonts w:ascii="仿宋_GB2312" w:hAnsi="仿宋_GB2312" w:cs="仿宋_GB2312" w:eastAsia="仿宋_GB2312"/>
              </w:rPr>
              <w:t>供应商与考古发掘单位工作配合的保障措施。 安排合理，内容详细计10分； 安排较合理，内容较详细计8分； 安排基本合理，内容一般计5分； 安排不合理，内容不足计2分。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供应商针对本项目提供的服务承诺，包括项目质量承诺、项目实施进度承诺、后期服务承诺、人员到位情况承诺等。 内容全面，针对性强、可行性强、符合实际情况的计10分； 内容比较全面，有一定针对性、可行性的计8分； 内容基本齐全，针对性、可行性一般计5分； 内容不齐全，可行性较差计2分。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提供2023年1月1日至今类似考古发掘劳务服务业绩（以加盖供应商公章的合同协议书复印件或扫描件作为评审依据），每提供一个业绩得2分，满分6分。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供应商近三年类似项目业绩证明材料.docx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满足磋商文件要求且最终磋商报价最低的供应商的价格为评标基准价，其价格分为满分。其他供应商的价格分统一按照下列公式计算： 磋商报价得分=（评标基准价/最终磋商报价）×价格权值×100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详见附件：商务、服务内容偏离表、技术响应偏差表.docx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详见附件：拟投入本项目的人员配置情况表.docx</w:t>
      </w:r>
    </w:p>
    <w:p>
      <w:pPr>
        <w:pStyle w:val="null3"/>
        <w:ind w:firstLine="960"/>
      </w:pPr>
      <w:r>
        <w:rPr>
          <w:rFonts w:ascii="仿宋_GB2312" w:hAnsi="仿宋_GB2312" w:cs="仿宋_GB2312" w:eastAsia="仿宋_GB2312"/>
        </w:rPr>
        <w:t>详见附件：拟投入本项目的设备仪器表.docx</w:t>
      </w:r>
    </w:p>
    <w:p>
      <w:pPr>
        <w:pStyle w:val="null3"/>
        <w:ind w:firstLine="960"/>
      </w:pPr>
      <w:r>
        <w:rPr>
          <w:rFonts w:ascii="仿宋_GB2312" w:hAnsi="仿宋_GB2312" w:cs="仿宋_GB2312" w:eastAsia="仿宋_GB2312"/>
        </w:rPr>
        <w:t>详见附件：供应商近三年类似项目业绩证明材料.docx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