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版本号：慧科ZX-CF01293BF20251202001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2025年西安市雁塔区福利彩票管理中心购置即开型福利彩票项目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慧科ZX-CF01293BF</w:t>
      </w:r>
      <w:r>
        <w:br/>
      </w:r>
      <w:r>
        <w:br/>
      </w:r>
      <w:r>
        <w:br/>
      </w:r>
    </w:p>
    <w:p>
      <w:pPr>
        <w:pStyle w:val="null3"/>
        <w:jc w:val="center"/>
        <w:outlineLvl w:val="5"/>
      </w:pPr>
      <w:r>
        <w:rPr>
          <w:rFonts w:ascii="仿宋_GB2312" w:hAnsi="仿宋_GB2312" w:cs="仿宋_GB2312" w:eastAsia="仿宋_GB2312"/>
          <w:sz w:val="15"/>
          <w:b/>
        </w:rPr>
        <w:t>西安市雁塔区民政局</w:t>
      </w:r>
    </w:p>
    <w:p>
      <w:pPr>
        <w:pStyle w:val="null3"/>
        <w:jc w:val="center"/>
        <w:outlineLvl w:val="5"/>
      </w:pPr>
      <w:r>
        <w:rPr>
          <w:rFonts w:ascii="仿宋_GB2312" w:hAnsi="仿宋_GB2312" w:cs="仿宋_GB2312" w:eastAsia="仿宋_GB2312"/>
          <w:sz w:val="15"/>
          <w:b/>
        </w:rPr>
        <w:t>陕西慧科工程管理咨询有限公司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西安市雁塔区民政局</w:t>
      </w:r>
      <w:r>
        <w:rPr>
          <w:rFonts w:ascii="仿宋_GB2312" w:hAnsi="仿宋_GB2312" w:cs="仿宋_GB2312" w:eastAsia="仿宋_GB2312"/>
        </w:rPr>
        <w:t>委托，拟对</w:t>
      </w:r>
      <w:r>
        <w:rPr>
          <w:rFonts w:ascii="仿宋_GB2312" w:hAnsi="仿宋_GB2312" w:cs="仿宋_GB2312" w:eastAsia="仿宋_GB2312"/>
        </w:rPr>
        <w:t>2025年西安市雁塔区福利彩票管理中心购置即开型福利彩票项目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慧科ZX-CF01293BF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2025年西安市雁塔区福利彩票管理中心购置即开型福利彩票项目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因西安市雁塔区福利彩票管理中心2025年开展活动中，需购置一批即开型福利彩票刮刮乐，用于业主销售竞赛活动，通过鼓励先进，不断激发业主销售热情，提高即开票销量。需购置一批即开型福利彩票刮刮乐，用于福彩品牌宣传等活动，以扩大福利彩票的宣传范围，提升福利彩票的品牌形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采购包1（2025年西安市雁塔区福利彩票管理中心购置即开型福利彩票项目）：属于专门面向中小企业采购。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开标当天现场查询结果为准）</w:t>
      </w:r>
    </w:p>
    <w:p>
      <w:pPr>
        <w:pStyle w:val="null3"/>
      </w:pPr>
      <w:r>
        <w:rPr>
          <w:rFonts w:ascii="仿宋_GB2312" w:hAnsi="仿宋_GB2312" w:cs="仿宋_GB2312" w:eastAsia="仿宋_GB2312"/>
        </w:rPr>
        <w:t>2、法定代表人授权委托书：法定代表人参加单一来源采购的，须提供法人身份证明及本人身份证复印件；法定代表人授权他人参加单一来源采购的，须提供法定代表人授权委托书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029-85355805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西安市高新区锦业一路56号西安研祥城市广场 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西安市雁塔区民政局</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因西安市雁塔区福利彩票管理中心2025年开展活动中，需购置一批即开型福利彩票刮刮乐，用于业主销售竞赛活动，通过鼓励先进，不断激发业主销售热情，提高即开票销量。需购置一批即开型福利彩票刮刮乐，用于福彩品牌宣传等活动，以扩大福利彩票的宣传范围，提升福利彩票的品牌形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即开型彩票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标的名称：即开型彩票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依据《彩票发行销售管理办法》的通知财综</w:t>
            </w:r>
            <w:r>
              <w:rPr>
                <w:rFonts w:ascii="仿宋_GB2312" w:hAnsi="仿宋_GB2312" w:cs="仿宋_GB2312" w:eastAsia="仿宋_GB2312"/>
                <w:sz w:val="21"/>
              </w:rPr>
              <w:t>(2012)102号第二条彩票发行机构按照统一发行、统一管理、统一标准的原则，负责全国的彩票发行和组织销售工作。彩票销售机构在彩票发行机构的统一组织下，负责本行政区域的彩票销售工作。</w:t>
            </w:r>
            <w:r>
              <w:br/>
            </w:r>
            <w:r>
              <w:rPr>
                <w:rFonts w:ascii="仿宋_GB2312" w:hAnsi="仿宋_GB2312" w:cs="仿宋_GB2312" w:eastAsia="仿宋_GB2312"/>
                <w:sz w:val="21"/>
              </w:rPr>
              <w:t xml:space="preserve"> 2.根据甲方需求按次发货，且提供的刮刮乐应完好无损。</w:t>
            </w:r>
            <w:r>
              <w:br/>
            </w:r>
            <w:r>
              <w:rPr>
                <w:rFonts w:ascii="仿宋_GB2312" w:hAnsi="仿宋_GB2312" w:cs="仿宋_GB2312" w:eastAsia="仿宋_GB2312"/>
                <w:sz w:val="21"/>
              </w:rPr>
              <w:t xml:space="preserve"> 3.</w:t>
            </w:r>
            <w:r>
              <w:rPr>
                <w:rFonts w:ascii="仿宋_GB2312" w:hAnsi="仿宋_GB2312" w:cs="仿宋_GB2312" w:eastAsia="仿宋_GB2312"/>
                <w:sz w:val="21"/>
              </w:rPr>
              <w:t>成交人</w:t>
            </w:r>
            <w:r>
              <w:rPr>
                <w:rFonts w:ascii="仿宋_GB2312" w:hAnsi="仿宋_GB2312" w:cs="仿宋_GB2312" w:eastAsia="仿宋_GB2312"/>
                <w:sz w:val="21"/>
              </w:rPr>
              <w:t>应当设有专人管理的即开型</w:t>
            </w:r>
            <w:r>
              <w:rPr>
                <w:rFonts w:ascii="仿宋_GB2312" w:hAnsi="仿宋_GB2312" w:cs="仿宋_GB2312" w:eastAsia="仿宋_GB2312"/>
                <w:sz w:val="21"/>
              </w:rPr>
              <w:t>“刮刮乐”福利彩票存储仓库，存储仓库不得存放与彩票业务无关的物品，具备防火、防水、防盗、防潮、防虫等安全功能。</w:t>
            </w:r>
            <w:r>
              <w:br/>
            </w:r>
            <w:r>
              <w:rPr>
                <w:rFonts w:ascii="仿宋_GB2312" w:hAnsi="仿宋_GB2312" w:cs="仿宋_GB2312" w:eastAsia="仿宋_GB2312"/>
                <w:sz w:val="21"/>
              </w:rPr>
              <w:t xml:space="preserve"> 4.成交人应当提供即开型“刮刮乐”福利彩票专营的物流综合管理服务。</w:t>
            </w:r>
            <w:r>
              <w:br/>
            </w:r>
            <w:r>
              <w:rPr>
                <w:rFonts w:ascii="仿宋_GB2312" w:hAnsi="仿宋_GB2312" w:cs="仿宋_GB2312" w:eastAsia="仿宋_GB2312"/>
                <w:sz w:val="21"/>
              </w:rPr>
              <w:t xml:space="preserve"> 5.成交人应当配备相应的综合管理服务团队，综合管理服务人员应当经过上岗前培训并考试合格后方可进行物流配送等工作。</w:t>
            </w:r>
            <w:r>
              <w:br/>
            </w:r>
            <w:r>
              <w:rPr>
                <w:rFonts w:ascii="仿宋_GB2312" w:hAnsi="仿宋_GB2312" w:cs="仿宋_GB2312" w:eastAsia="仿宋_GB2312"/>
                <w:sz w:val="21"/>
              </w:rPr>
              <w:t xml:space="preserve"> 6.对于采购人提出的服务要求，成交人应积极响应，响应时间不超过2小时。</w:t>
            </w:r>
            <w:r>
              <w:br/>
            </w:r>
            <w:r>
              <w:rPr>
                <w:rFonts w:ascii="仿宋_GB2312" w:hAnsi="仿宋_GB2312" w:cs="仿宋_GB2312" w:eastAsia="仿宋_GB2312"/>
                <w:sz w:val="21"/>
              </w:rPr>
              <w:t xml:space="preserve"> 7.质量要求：</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成交人所提供货物是全新的、未使用过的、原包装未拆封的商品，完全符合采购产品规定的质量、规格和性能的要求，所有产品外包装箱不得自行拆封，包装箱上所有标签等不得涂改或撕毁，否则甲方有权拒绝验收，非成交人原因导致的除外。</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2）成交人应保证所提供货物涉及到的知识产权是合法取得，并享有完整的知识产权。</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3）成交人提供的货物质量应符合甲方要求或国家通用标准。</w:t>
            </w:r>
            <w:r>
              <w:br/>
            </w:r>
            <w:r>
              <w:rPr>
                <w:rFonts w:ascii="仿宋_GB2312" w:hAnsi="仿宋_GB2312" w:cs="仿宋_GB2312" w:eastAsia="仿宋_GB2312"/>
                <w:sz w:val="21"/>
              </w:rPr>
              <w:t xml:space="preserve"> 8.结算方式：每张刮刮乐10元，以采购人实际使用量进行结算。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1.成交人应当设有专人管理的即开型“刮刮乐”福利彩票存储仓库，存储仓库不得存放与彩票业务无关的物品，具备防火、防水、防盗、防潮、防虫等安全功能。 2.成交人应当提供即开型“刮刮乐”福利彩票专营的物流综合管理服务。 3.成交人应当配备相应的综合管理服务团队，综合管理服务人员应当经过上岗前培训并考试合格后方可进行物流配送等工作。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自合同签订之日起至2026年07月10日，或本项目供货金额达到采购预算，以先达者为准。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西安市雁塔区福利彩票管理中心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合同签订后，根据每次实际供应的刮刮乐供货数量进行结算，每张刮刮乐10元</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根据甲方需求数量及质量达标</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根据本项目服务内容提供详细的服务方案（包括但不限于配送方案及配送时效、物料的保管方案及针对本项目可能出现的状况提供应对措施及相应的解决方案等）。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开标当天现场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法定代表人参加单一来源采购的，须提供法人身份证明及本人身份证复印件；法定代表人授权他人参加单一来源采购的，须提供法定代表人授权委托书</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