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版本号：ZJZC2025112500320251223001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西安市雁塔区青龙路西延伸、红星路北延伸树木移栽项目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ZJZC20251125003</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西安市雁塔区青龙路西延伸、红星路北延伸树木移栽项目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ZJZC20251125003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西安市雁塔区青龙路西延伸、红星路北延伸树木移栽项目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工程建设需要，需对西安市雁塔区青龙路西延伸（西延路-联建小区）（东西方向）道路两旁13株法桐、2株榆树、4株柳树移栽至采购人指地点（周至县），13株泡桐进行砍伐处理；对西安市雁塔区红星路北延伸（后村西路-联建小区）（南北方向）道路两旁22株法桐移栽至采购人指地点（周至县），具体内容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采购包1（西安市雁塔区青龙路西延伸、红星路北延伸树木移栽项目）：属于专门面向中小企业采购。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2、项目经理：拟派项目经理须具备园林绿化相关专业中级及以上职称，在本单位任职，且未担任其他在建工程项目的项目经理。</w:t>
      </w:r>
    </w:p>
    <w:p>
      <w:pPr>
        <w:pStyle w:val="null3"/>
      </w:pPr>
      <w:r>
        <w:rPr>
          <w:rFonts w:ascii="仿宋_GB2312" w:hAnsi="仿宋_GB2312" w:cs="仿宋_GB2312" w:eastAsia="仿宋_GB2312"/>
        </w:rPr>
        <w:t>3、财务状况报告：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7、近三年无重大违法、违纪书面声明：提供《近三年无重大违法、违纪书面声明》。</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15102971384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联系人：董喜峰、裴慢慢、孙晓梅</w:t>
      </w:r>
    </w:p>
    <w:p>
      <w:pPr>
        <w:pStyle w:val="null3"/>
      </w:pPr>
      <w:r>
        <w:rPr>
          <w:rFonts w:ascii="仿宋_GB2312" w:hAnsi="仿宋_GB2312" w:cs="仿宋_GB2312" w:eastAsia="仿宋_GB2312"/>
        </w:rPr>
        <w:t>联系电话：15102971384</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树木移栽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标的名称：树木移栽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项目名称：西安市雁塔区青龙路西延伸、红星路北延伸树木移栽项目</w:t>
            </w:r>
          </w:p>
          <w:p>
            <w:pPr>
              <w:pStyle w:val="null3"/>
              <w:ind w:firstLine="480"/>
              <w:jc w:val="both"/>
            </w:pPr>
            <w:r>
              <w:rPr>
                <w:rFonts w:ascii="仿宋_GB2312" w:hAnsi="仿宋_GB2312" w:cs="仿宋_GB2312" w:eastAsia="仿宋_GB2312"/>
                <w:sz w:val="24"/>
              </w:rPr>
              <w:t>采购预算：</w:t>
            </w:r>
            <w:r>
              <w:rPr>
                <w:rFonts w:ascii="仿宋_GB2312" w:hAnsi="仿宋_GB2312" w:cs="仿宋_GB2312" w:eastAsia="仿宋_GB2312"/>
                <w:sz w:val="24"/>
              </w:rPr>
              <w:t>53万元</w:t>
            </w:r>
          </w:p>
          <w:p>
            <w:pPr>
              <w:pStyle w:val="null3"/>
              <w:ind w:firstLine="480"/>
              <w:jc w:val="both"/>
            </w:pPr>
            <w:r>
              <w:rPr>
                <w:rFonts w:ascii="仿宋_GB2312" w:hAnsi="仿宋_GB2312" w:cs="仿宋_GB2312" w:eastAsia="仿宋_GB2312"/>
                <w:sz w:val="24"/>
              </w:rPr>
              <w:t>工程概况：因工程建设需要，需对西安市雁塔区青龙路西延伸（西延路</w:t>
            </w:r>
            <w:r>
              <w:rPr>
                <w:rFonts w:ascii="仿宋_GB2312" w:hAnsi="仿宋_GB2312" w:cs="仿宋_GB2312" w:eastAsia="仿宋_GB2312"/>
                <w:sz w:val="24"/>
              </w:rPr>
              <w:t>-联建小区）（东西方向）道路两旁13株法桐、2株榆树、4株柳树移栽至采购人指地点（周至县），13株泡桐进行砍伐处理；对西安市雁塔区红星路北延伸（后村西路-联建小区）（南北方向）道路两旁22株法桐移栽至采购人指地点（周至县），具体内容详见本项目工程量清单。</w:t>
            </w:r>
          </w:p>
          <w:p>
            <w:pPr>
              <w:pStyle w:val="null3"/>
              <w:ind w:firstLine="482"/>
              <w:jc w:val="both"/>
            </w:pPr>
            <w:r>
              <w:rPr>
                <w:rFonts w:ascii="仿宋_GB2312" w:hAnsi="仿宋_GB2312" w:cs="仿宋_GB2312" w:eastAsia="仿宋_GB2312"/>
                <w:sz w:val="24"/>
                <w:b/>
              </w:rPr>
              <w:t>二、树木移栽清单</w:t>
            </w:r>
          </w:p>
          <w:tbl>
            <w:tblPr>
              <w:tblInd w:type="dxa" w:w="135"/>
              <w:tblBorders>
                <w:top w:val="none" w:color="000000" w:sz="4"/>
                <w:left w:val="none" w:color="000000" w:sz="4"/>
                <w:bottom w:val="none" w:color="000000" w:sz="4"/>
                <w:right w:val="none" w:color="000000" w:sz="4"/>
                <w:insideH w:val="none"/>
                <w:insideV w:val="none"/>
              </w:tblBorders>
            </w:tblPr>
            <w:tblGrid>
              <w:gridCol w:w="347"/>
              <w:gridCol w:w="439"/>
              <w:gridCol w:w="450"/>
              <w:gridCol w:w="695"/>
              <w:gridCol w:w="496"/>
              <w:gridCol w:w="374"/>
              <w:gridCol w:w="408"/>
              <w:gridCol w:w="1242"/>
            </w:tblGrid>
            <w:tr>
              <w:tc>
                <w:tcPr>
                  <w:tcW w:type="dxa" w:w="3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4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3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2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47"/>
                  <w:vMerge/>
                  <w:tcBorders>
                    <w:top w:val="single" w:color="000000" w:sz="4"/>
                    <w:left w:val="single" w:color="000000" w:sz="4"/>
                    <w:bottom w:val="single" w:color="000000" w:sz="4"/>
                    <w:right w:val="single" w:color="000000" w:sz="4"/>
                  </w:tcBorders>
                </w:tcPr>
                <w:p/>
              </w:tc>
              <w:tc>
                <w:tcPr>
                  <w:tcW w:type="dxa" w:w="439"/>
                  <w:vMerge/>
                  <w:tcBorders>
                    <w:top w:val="singl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p>
              </w:tc>
              <w:tc>
                <w:tcPr>
                  <w:tcW w:type="dxa" w:w="374"/>
                  <w:vMerge/>
                  <w:tcBorders>
                    <w:top w:val="single" w:color="000000" w:sz="4"/>
                    <w:left w:val="non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1242"/>
                  <w:vMerge/>
                  <w:tcBorders>
                    <w:top w:val="single" w:color="000000" w:sz="4"/>
                    <w:left w:val="none" w:color="000000" w:sz="4"/>
                    <w:bottom w:val="single" w:color="000000" w:sz="4"/>
                    <w:right w:val="single" w:color="000000" w:sz="4"/>
                  </w:tcBorders>
                </w:tcPr>
                <w:p/>
              </w:tc>
            </w:tr>
            <w:tr>
              <w:tc>
                <w:tcPr>
                  <w:tcW w:type="dxa" w:w="4451"/>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西安市雁塔区青龙路西延伸</w:t>
                  </w:r>
                  <w:r>
                    <w:rPr>
                      <w:rFonts w:ascii="仿宋_GB2312" w:hAnsi="仿宋_GB2312" w:cs="仿宋_GB2312" w:eastAsia="仿宋_GB2312"/>
                      <w:sz w:val="24"/>
                    </w:rPr>
                    <w:t>（西延路</w:t>
                  </w:r>
                  <w:r>
                    <w:rPr>
                      <w:rFonts w:ascii="仿宋_GB2312" w:hAnsi="仿宋_GB2312" w:cs="仿宋_GB2312" w:eastAsia="仿宋_GB2312"/>
                      <w:sz w:val="24"/>
                    </w:rPr>
                    <w:t>-联建小区）市政工程（东西）</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法桐</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30cm</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15-20米</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8-12米</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榆树</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35cm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15-20米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8-12米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柳树</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30cm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15-20米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8-12米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泡桐</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30cm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15-20米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8-12米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砍伐处理，不具备移植栽种条件</w:t>
                  </w:r>
                </w:p>
              </w:tc>
            </w:tr>
            <w:tr>
              <w:tc>
                <w:tcPr>
                  <w:tcW w:type="dxa" w:w="4451"/>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西安市雁塔区红星路北延伸（后村西路</w:t>
                  </w:r>
                  <w:r>
                    <w:rPr>
                      <w:rFonts w:ascii="仿宋_GB2312" w:hAnsi="仿宋_GB2312" w:cs="仿宋_GB2312" w:eastAsia="仿宋_GB2312"/>
                      <w:sz w:val="24"/>
                    </w:rPr>
                    <w:t>-联建小区）市政工程（南北）</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法桐</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20cm</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10-15米</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5-8米</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法桐</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10cm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10-13米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法桐</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15cm</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10-12米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4-6米</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挖苗、运输、移植至采购人指定地点并养护</w:t>
                  </w:r>
                </w:p>
              </w:tc>
            </w:tr>
          </w:tbl>
          <w:p>
            <w:pPr>
              <w:pStyle w:val="null3"/>
              <w:ind w:firstLine="480"/>
              <w:jc w:val="both"/>
            </w:pPr>
            <w:r>
              <w:rPr>
                <w:rFonts w:ascii="仿宋_GB2312" w:hAnsi="仿宋_GB2312" w:cs="仿宋_GB2312" w:eastAsia="仿宋_GB2312"/>
                <w:sz w:val="24"/>
              </w:rPr>
              <w:t>具体内容详见本项目工程量清单（详见附件）。</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1、工期：自合同签订之日起35个日历日；</w:t>
            </w:r>
          </w:p>
          <w:p>
            <w:pPr>
              <w:pStyle w:val="null3"/>
              <w:ind w:firstLine="480"/>
              <w:jc w:val="both"/>
            </w:pPr>
            <w:r>
              <w:rPr>
                <w:rFonts w:ascii="仿宋_GB2312" w:hAnsi="仿宋_GB2312" w:cs="仿宋_GB2312" w:eastAsia="仿宋_GB2312"/>
                <w:sz w:val="24"/>
              </w:rPr>
              <w:t>2、工程地点：采购人指定地点；</w:t>
            </w:r>
          </w:p>
          <w:p>
            <w:pPr>
              <w:pStyle w:val="null3"/>
              <w:ind w:firstLine="480"/>
              <w:jc w:val="both"/>
            </w:pPr>
            <w:r>
              <w:rPr>
                <w:rFonts w:ascii="仿宋_GB2312" w:hAnsi="仿宋_GB2312" w:cs="仿宋_GB2312" w:eastAsia="仿宋_GB2312"/>
                <w:sz w:val="24"/>
              </w:rPr>
              <w:t>3、质量标准：达到国家相关质量“合格”标准,</w:t>
            </w:r>
          </w:p>
          <w:p>
            <w:pPr>
              <w:pStyle w:val="null3"/>
              <w:ind w:firstLine="480"/>
              <w:jc w:val="both"/>
            </w:pPr>
            <w:r>
              <w:rPr>
                <w:rFonts w:ascii="仿宋_GB2312" w:hAnsi="仿宋_GB2312" w:cs="仿宋_GB2312" w:eastAsia="仿宋_GB2312"/>
                <w:sz w:val="24"/>
              </w:rPr>
              <w:t>4、质保期（养护期）：养护期五年，确保成活率不低于90%。</w:t>
            </w:r>
          </w:p>
          <w:p>
            <w:pPr>
              <w:pStyle w:val="null3"/>
              <w:ind w:firstLine="480"/>
              <w:jc w:val="both"/>
            </w:pPr>
            <w:r>
              <w:rPr>
                <w:rFonts w:ascii="仿宋_GB2312" w:hAnsi="仿宋_GB2312" w:cs="仿宋_GB2312" w:eastAsia="仿宋_GB2312"/>
                <w:sz w:val="24"/>
              </w:rPr>
              <w:t>5、养护期要求：供应商在树木养护期间，采购人将以季度考察方式，核查移栽后树木成活情况，成活率未达标的，供应商应及时补齐，至养护期结束成活率仍未达标的，给采购人造成损失的将扣除相应合同金额。</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养护期5年，并确保树木移植成活率不低于90%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拟派项目经理须具备园林绿化相关专业中级及以上职称，在本单位任职，且未担任其他在建工程项目的项目经理。</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供应商承诺书及其他相关材料.docx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供应商承诺书及其他相关材料.docx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已标价工程量清单 中小企业声明函 响应文件封面 供应商资格要求.docx 残疾人福利性单位声明函 报价函 标的清单 供应商近三年类似项目业绩证明材料.docx 供应商承诺书及其他相关材料.docx 响应函 商务内容偏离表、技术响应偏差表.docx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报价函 响应函 商务内容偏离表、技术响应偏差表.docx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工期是否满足竞争性磋商文件要求</w:t>
            </w:r>
          </w:p>
        </w:tc>
        <w:tc>
          <w:tcPr>
            <w:tcW w:type="dxa" w:w="1661"/>
          </w:tcPr>
          <w:p>
            <w:pPr>
              <w:pStyle w:val="null3"/>
            </w:pPr>
            <w:r>
              <w:rPr>
                <w:rFonts w:ascii="仿宋_GB2312" w:hAnsi="仿宋_GB2312" w:cs="仿宋_GB2312" w:eastAsia="仿宋_GB2312"/>
              </w:rPr>
              <w:t>报价函 响应函 商务内容偏离表、技术响应偏差表.docx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商务内容偏离表、技术响应偏差表.docx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已标价工程量清单 中小企业声明函 响应文件封面 供应商资格要求.docx 残疾人福利性单位声明函 报价函 标的清单 供应商近三年类似项目业绩证明材料.docx 供应商承诺书及其他相关材料.docx 响应函 商务内容偏离表、技术响应偏差表.docx 服务方案.docx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苗木迁移方案</w:t>
            </w:r>
          </w:p>
        </w:tc>
        <w:tc>
          <w:tcPr>
            <w:tcW w:type="dxa" w:w="2492"/>
          </w:tcPr>
          <w:p>
            <w:pPr>
              <w:pStyle w:val="null3"/>
            </w:pPr>
            <w:r>
              <w:rPr>
                <w:rFonts w:ascii="仿宋_GB2312" w:hAnsi="仿宋_GB2312" w:cs="仿宋_GB2312" w:eastAsia="仿宋_GB2312"/>
              </w:rPr>
              <w:t>一、评审内容 供应商针对本项目制定苗木迁移方案，内容包含：①项目整体迁移规划②项目重点难点③苗木迁移实施的流程④管理规章制度方案。 二、评审标准 1、完整性：方案必须全面，条理清晰，对评审内容中的各项要求有详细描述； 2、可实施性：切合本项目实际情况，提出步骤清晰、合理的方案； 3、针对性：方案能够紧扣项目实际情况，内容科学合理 三、赋分标准（满分24分） ①项目整体迁移规划：每完全满足一个评审标准得2分，满分6分； ②项目重点难点：每完全满足一个评审标准得2分，满分6分； ③苗木迁移实施的流程：每完全满足一个评审标准得2分，满分6分。 ④管理规章制度方案：每完全满足一个评审标准得2分，满分6分。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供应商针对本项目编制完善的质量保证措施，内容包含：①质量目标管理体系②苗木移栽的质量保障措施③苗木养护的质量保障措施。 二、评审标准 1、完整性：方案必须全面，对评审内容中的各项要求有详细描述； 2、可实施性：切合本项目实际情况，提出步骤清晰、合理的方案； 3、针对性：方案能够紧扣项目实际情况，内容科学合理 三、赋分标准（满分18分） ①质量目标管理体系：每完全满足一个评审标准得2分，满分6分； ②苗木移栽的质量保障措施：每完全满足一个评审标准得2分，满分6分； ③苗木养护的质量保障措施：每完全满足一个评审标准得2分，满分6分。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 二、评审标准 1、完整性：方案必须全面，对评审内容中的各项要求有详细描述；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①安全生产管理制度：每完全满足一个评审标准得1分，满分3分； ②安全文明施工措施：每完全满足一个评审标准得1分，满分3分； ③安全应急预案：每完全满足一个评审标准得1分，满分3分。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①管理机构的配备计划及管理人员证书：每完全满足一个评审标准得1.5分，满分4.5分； ②组织机构的岗位职责：每完全满足一个评审标准得1.5分，满分4.5分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供应商针对本项目拟投入本项目的工具设备情况，包括设备新旧程度、数量等。 工具配置齐全，数量充足，满足工作需求计5分；工具配置较齐全，基本满足工作需求计3分； 有工具配置，但不能满足项目需求计1分。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2023年1月1日至今完成类似项目业绩（提供加盖供应商公章的合同协议书复印件或扫描件，以合同签订日期为准），每提供一个业绩得2分，满分6分。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详见附件：供应商承诺书及其他相关材料.docx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