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9A6B8">
      <w:pPr>
        <w:adjustRightInd w:val="0"/>
        <w:snapToGrid w:val="0"/>
        <w:spacing w:line="360" w:lineRule="auto"/>
        <w:ind w:left="105" w:leftChars="50" w:firstLine="562" w:firstLineChars="200"/>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合同草案条款</w:t>
      </w:r>
    </w:p>
    <w:p w14:paraId="44A0E1C7">
      <w:pPr>
        <w:adjustRightInd w:val="0"/>
        <w:snapToGrid w:val="0"/>
        <w:spacing w:line="360" w:lineRule="auto"/>
        <w:ind w:left="105" w:leftChars="50" w:firstLine="562" w:firstLineChars="200"/>
        <w:rPr>
          <w:rFonts w:ascii="Times New Roman" w:hAnsi="Times New Roman" w:eastAsia="仿宋_GB2312" w:cs="Times New Roman"/>
          <w:sz w:val="28"/>
          <w:szCs w:val="28"/>
        </w:rPr>
      </w:pPr>
      <w:r>
        <w:rPr>
          <w:rFonts w:ascii="Times New Roman" w:hAnsi="Times New Roman" w:eastAsia="仿宋_GB2312" w:cs="Times New Roman"/>
          <w:b/>
          <w:sz w:val="28"/>
          <w:szCs w:val="28"/>
        </w:rPr>
        <w:t>甲方：（</w:t>
      </w:r>
      <w:r>
        <w:rPr>
          <w:rFonts w:ascii="Times New Roman" w:hAnsi="Times New Roman" w:eastAsia="仿宋_GB2312" w:cs="Times New Roman"/>
          <w:sz w:val="28"/>
          <w:szCs w:val="28"/>
        </w:rPr>
        <w:t>前款所称采购人）         住所：</w:t>
      </w:r>
    </w:p>
    <w:p w14:paraId="6B027485">
      <w:pPr>
        <w:adjustRightInd w:val="0"/>
        <w:snapToGrid w:val="0"/>
        <w:spacing w:line="360" w:lineRule="auto"/>
        <w:ind w:left="105" w:leftChars="50" w:firstLine="562" w:firstLineChars="200"/>
        <w:rPr>
          <w:rFonts w:ascii="Times New Roman" w:hAnsi="Times New Roman" w:eastAsia="仿宋_GB2312" w:cs="Times New Roman"/>
          <w:sz w:val="28"/>
          <w:szCs w:val="28"/>
        </w:rPr>
      </w:pPr>
      <w:r>
        <w:rPr>
          <w:rFonts w:ascii="Times New Roman" w:hAnsi="Times New Roman" w:eastAsia="仿宋_GB2312" w:cs="Times New Roman"/>
          <w:b/>
          <w:sz w:val="28"/>
          <w:szCs w:val="28"/>
        </w:rPr>
        <w:t>乙方：</w:t>
      </w:r>
      <w:r>
        <w:rPr>
          <w:rFonts w:ascii="Times New Roman" w:hAnsi="Times New Roman" w:eastAsia="仿宋_GB2312" w:cs="Times New Roman"/>
          <w:sz w:val="28"/>
          <w:szCs w:val="28"/>
        </w:rPr>
        <w:t>（前款所称成交供应商）     住所：</w:t>
      </w:r>
    </w:p>
    <w:p w14:paraId="583CFB5D">
      <w:pPr>
        <w:adjustRightInd w:val="0"/>
        <w:snapToGrid w:val="0"/>
        <w:spacing w:line="360" w:lineRule="auto"/>
        <w:ind w:firstLine="562" w:firstLineChars="200"/>
        <w:rPr>
          <w:rFonts w:ascii="Times New Roman" w:hAnsi="Times New Roman" w:eastAsia="仿宋_GB2312" w:cs="Times New Roman"/>
          <w:b/>
          <w:sz w:val="28"/>
          <w:szCs w:val="28"/>
        </w:rPr>
      </w:pPr>
      <w:bookmarkStart w:id="0" w:name="_Toc19515384"/>
      <w:r>
        <w:rPr>
          <w:rFonts w:ascii="Times New Roman" w:hAnsi="Times New Roman" w:eastAsia="仿宋_GB2312" w:cs="Times New Roman"/>
          <w:b/>
          <w:sz w:val="28"/>
          <w:szCs w:val="28"/>
        </w:rPr>
        <w:t>一、合同内容</w:t>
      </w:r>
    </w:p>
    <w:p w14:paraId="3684121A">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（标的、数量、质量等）</w:t>
      </w:r>
      <w:bookmarkEnd w:id="0"/>
      <w:bookmarkStart w:id="1" w:name="_Toc19515385"/>
    </w:p>
    <w:p w14:paraId="03B737D4">
      <w:pPr>
        <w:adjustRightInd w:val="0"/>
        <w:snapToGrid w:val="0"/>
        <w:spacing w:line="360" w:lineRule="auto"/>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二、合同价款</w:t>
      </w:r>
      <w:bookmarkEnd w:id="1"/>
    </w:p>
    <w:p w14:paraId="26E58553">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1、合同总价：</w:t>
      </w:r>
    </w:p>
    <w:p w14:paraId="4E389BAA">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2、合同总价包括：</w:t>
      </w:r>
      <w:r>
        <w:rPr>
          <w:rFonts w:hint="eastAsia" w:ascii="Times New Roman" w:hAnsi="Times New Roman" w:eastAsia="仿宋_GB2312" w:cs="Times New Roman"/>
          <w:sz w:val="28"/>
          <w:szCs w:val="28"/>
        </w:rPr>
        <w:t>完成服务要求所需的一切费用</w:t>
      </w:r>
      <w:r>
        <w:rPr>
          <w:rFonts w:ascii="Times New Roman" w:hAnsi="Times New Roman" w:eastAsia="仿宋_GB2312" w:cs="Times New Roman"/>
          <w:sz w:val="28"/>
          <w:szCs w:val="28"/>
        </w:rPr>
        <w:t>。</w:t>
      </w:r>
    </w:p>
    <w:p w14:paraId="6CB8B2C7">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3、合同总价一次包死，不受市场价变化的影响。</w:t>
      </w:r>
      <w:bookmarkStart w:id="2" w:name="_Toc19515386"/>
    </w:p>
    <w:p w14:paraId="04AF7D53">
      <w:pPr>
        <w:adjustRightInd w:val="0"/>
        <w:snapToGrid w:val="0"/>
        <w:spacing w:line="360" w:lineRule="auto"/>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三、合同结算</w:t>
      </w:r>
      <w:bookmarkEnd w:id="2"/>
    </w:p>
    <w:p w14:paraId="5B678489">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1、资金支付条件及时间：</w:t>
      </w:r>
    </w:p>
    <w:p w14:paraId="5B9CE426">
      <w:pPr>
        <w:adjustRightInd w:val="0"/>
        <w:snapToGrid w:val="0"/>
        <w:spacing w:line="360" w:lineRule="auto"/>
        <w:ind w:left="105" w:leftChars="50" w:firstLine="560" w:firstLineChars="200"/>
        <w:rPr>
          <w:rFonts w:hint="eastAsia"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rPr>
        <w:t>本合同款项分两次支付，合同签订之日起1个月内，甲方向乙方支付合同价款的50%;委托期满验收合格后，1个月内向乙方支付剩余款项。如验收不合格，乙方须无条件进行整改，整改两次之后仍验收不合格，甲乙双方经协商，可以视情况向甲方支付不高于合同总价款3%的违约金。</w:t>
      </w:r>
    </w:p>
    <w:p w14:paraId="185F2818">
      <w:pPr>
        <w:adjustRightInd w:val="0"/>
        <w:snapToGrid w:val="0"/>
        <w:spacing w:line="360" w:lineRule="auto"/>
        <w:ind w:left="664" w:leftChars="316"/>
        <w:rPr>
          <w:rFonts w:ascii="Times New Roman" w:hAnsi="Times New Roman" w:eastAsia="仿宋_GB2312" w:cs="Times New Roman"/>
          <w:sz w:val="28"/>
          <w:szCs w:val="28"/>
        </w:rPr>
      </w:pPr>
      <w:r>
        <w:rPr>
          <w:rFonts w:ascii="Times New Roman" w:hAnsi="Times New Roman" w:eastAsia="仿宋_GB2312" w:cs="Times New Roman"/>
          <w:sz w:val="28"/>
          <w:szCs w:val="28"/>
        </w:rPr>
        <w:t>2、结算方式：银行转账。</w:t>
      </w:r>
    </w:p>
    <w:p w14:paraId="1591ECD9">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3、结算单位：由</w:t>
      </w:r>
      <w:r>
        <w:rPr>
          <w:rFonts w:ascii="Times New Roman" w:hAnsi="Times New Roman" w:eastAsia="仿宋_GB2312" w:cs="Times New Roman"/>
          <w:sz w:val="28"/>
          <w:szCs w:val="28"/>
          <w:u w:val="single"/>
        </w:rPr>
        <w:t>甲方</w:t>
      </w:r>
      <w:r>
        <w:rPr>
          <w:rFonts w:ascii="Times New Roman" w:hAnsi="Times New Roman" w:eastAsia="仿宋_GB2312" w:cs="Times New Roman"/>
          <w:sz w:val="28"/>
          <w:szCs w:val="28"/>
        </w:rPr>
        <w:t>负责结算，乙方开具结算价的等额发票交采购人。</w:t>
      </w:r>
      <w:bookmarkStart w:id="3" w:name="_Toc19515387"/>
    </w:p>
    <w:p w14:paraId="1A38094A">
      <w:pPr>
        <w:adjustRightInd w:val="0"/>
        <w:snapToGrid w:val="0"/>
        <w:spacing w:line="360" w:lineRule="auto"/>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四、履行期限、地点及方式：</w:t>
      </w:r>
      <w:bookmarkEnd w:id="3"/>
    </w:p>
    <w:p w14:paraId="72C92828">
      <w:pPr>
        <w:adjustRightInd w:val="0"/>
        <w:snapToGrid w:val="0"/>
        <w:spacing w:line="360" w:lineRule="auto"/>
        <w:ind w:left="105" w:leftChars="50"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sz w:val="28"/>
          <w:szCs w:val="28"/>
        </w:rPr>
        <w:t>1、</w:t>
      </w:r>
      <w:r>
        <w:rPr>
          <w:rFonts w:ascii="Times New Roman" w:hAnsi="Times New Roman" w:eastAsia="仿宋_GB2312" w:cs="Times New Roman"/>
          <w:color w:val="000000"/>
          <w:sz w:val="28"/>
          <w:szCs w:val="28"/>
        </w:rPr>
        <w:t>履行期限：</w:t>
      </w:r>
      <w:bookmarkStart w:id="5" w:name="_GoBack"/>
      <w:r>
        <w:rPr>
          <w:rFonts w:hint="eastAsia" w:ascii="Times New Roman" w:hAnsi="Times New Roman" w:eastAsia="仿宋_GB2312" w:cs="Times New Roman"/>
          <w:color w:val="000000"/>
          <w:sz w:val="28"/>
          <w:szCs w:val="28"/>
          <w:highlight w:val="none"/>
        </w:rPr>
        <w:t>本合同自2026年01月01日起至2026年12月31日，委托期限为2026年全年。</w:t>
      </w:r>
      <w:bookmarkEnd w:id="5"/>
    </w:p>
    <w:p w14:paraId="2A16834A">
      <w:pPr>
        <w:adjustRightInd w:val="0"/>
        <w:snapToGrid w:val="0"/>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 2、地点：按照采购人要求</w:t>
      </w:r>
    </w:p>
    <w:p w14:paraId="3CB771FE">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3、方式：</w:t>
      </w:r>
      <w:bookmarkStart w:id="4" w:name="_Toc19515388"/>
      <w:r>
        <w:rPr>
          <w:rFonts w:ascii="Times New Roman" w:hAnsi="Times New Roman" w:eastAsia="仿宋_GB2312" w:cs="Times New Roman"/>
          <w:sz w:val="28"/>
          <w:szCs w:val="28"/>
        </w:rPr>
        <w:t>按照采购人要求</w:t>
      </w:r>
    </w:p>
    <w:p w14:paraId="649CFB62">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五、服务内容与质量标准</w:t>
      </w:r>
    </w:p>
    <w:p w14:paraId="7564BDD5">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各项具体工作的质量标准和作业规范，按国家相关标准、规范执行。</w:t>
      </w:r>
    </w:p>
    <w:p w14:paraId="34D38F6A">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六、验收</w:t>
      </w:r>
    </w:p>
    <w:p w14:paraId="333192E0">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1、验收依据：</w:t>
      </w:r>
    </w:p>
    <w:p w14:paraId="0FDC6C27">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1-1、合同文本、合同附件、单一来源采购文件、响应文件。</w:t>
      </w:r>
    </w:p>
    <w:p w14:paraId="162DC04E">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1-2、国内相应的标准、规范。</w:t>
      </w:r>
    </w:p>
    <w:p w14:paraId="74372349">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七、</w:t>
      </w:r>
      <w:r>
        <w:rPr>
          <w:rFonts w:ascii="Times New Roman" w:hAnsi="Times New Roman" w:eastAsia="仿宋_GB2312" w:cs="Times New Roman"/>
          <w:b/>
          <w:sz w:val="28"/>
          <w:szCs w:val="28"/>
        </w:rPr>
        <w:t>甲方的权利和义务</w:t>
      </w:r>
    </w:p>
    <w:p w14:paraId="5C981D1D">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1、甲方有权督促乙方完成合同中协议的所有工作内容及其工作进度；</w:t>
      </w:r>
    </w:p>
    <w:p w14:paraId="52A1D8D2">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2、甲方有权向乙方提出整改建议和意见。</w:t>
      </w:r>
    </w:p>
    <w:p w14:paraId="2607D0B9">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3、甲方负责监督、检查乙方提供服务的工作进度、质量情况。</w:t>
      </w:r>
    </w:p>
    <w:p w14:paraId="14DF1A48">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4、根据本合同规定，按时向乙方支付应付服务费用。</w:t>
      </w:r>
    </w:p>
    <w:p w14:paraId="4E000429">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5、国家法律、法规所规定由甲方承担的其它责任。</w:t>
      </w:r>
    </w:p>
    <w:p w14:paraId="71AC8816">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八、</w:t>
      </w:r>
      <w:r>
        <w:rPr>
          <w:rFonts w:ascii="Times New Roman" w:hAnsi="Times New Roman" w:eastAsia="仿宋_GB2312" w:cs="Times New Roman"/>
          <w:b/>
          <w:sz w:val="28"/>
          <w:szCs w:val="28"/>
        </w:rPr>
        <w:t>乙方的权利和义务</w:t>
      </w:r>
    </w:p>
    <w:p w14:paraId="02EDA31D">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1、乙方按照甲方工作要求完成融媒体中心的运营工作。</w:t>
      </w:r>
    </w:p>
    <w:p w14:paraId="751DE350">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2、</w:t>
      </w:r>
      <w:r>
        <w:rPr>
          <w:rFonts w:ascii="仿宋_GB2312" w:hAnsi="仿宋" w:eastAsia="仿宋_GB2312" w:cs="Times New Roman"/>
          <w:sz w:val="28"/>
          <w:szCs w:val="28"/>
        </w:rPr>
        <w:t>根据本合同的规定向甲方收取相关</w:t>
      </w:r>
      <w:r>
        <w:rPr>
          <w:rFonts w:hint="eastAsia" w:ascii="仿宋_GB2312" w:hAnsi="仿宋" w:eastAsia="仿宋_GB2312" w:cs="Times New Roman"/>
          <w:sz w:val="28"/>
          <w:szCs w:val="28"/>
        </w:rPr>
        <w:t>服务</w:t>
      </w:r>
      <w:r>
        <w:rPr>
          <w:rFonts w:ascii="仿宋_GB2312" w:hAnsi="仿宋" w:eastAsia="仿宋_GB2312" w:cs="Times New Roman"/>
          <w:sz w:val="28"/>
          <w:szCs w:val="28"/>
        </w:rPr>
        <w:t>费用，并有权</w:t>
      </w:r>
      <w:r>
        <w:rPr>
          <w:rFonts w:hint="eastAsia" w:ascii="仿宋_GB2312" w:hAnsi="仿宋" w:eastAsia="仿宋_GB2312" w:cs="Times New Roman"/>
          <w:sz w:val="28"/>
          <w:szCs w:val="28"/>
        </w:rPr>
        <w:t>在本项目管理范围内</w:t>
      </w:r>
      <w:r>
        <w:rPr>
          <w:rFonts w:ascii="仿宋_GB2312" w:hAnsi="仿宋" w:eastAsia="仿宋_GB2312" w:cs="Times New Roman"/>
          <w:sz w:val="28"/>
          <w:szCs w:val="28"/>
        </w:rPr>
        <w:t>管理及合理使用。</w:t>
      </w:r>
    </w:p>
    <w:p w14:paraId="16A661C3">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3、及时向甲方通告本项目执行范围内有关的重大事项，及时配合处理投诉。</w:t>
      </w:r>
    </w:p>
    <w:p w14:paraId="08012652">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4、</w:t>
      </w:r>
      <w:r>
        <w:rPr>
          <w:rFonts w:ascii="仿宋_GB2312" w:hAnsi="仿宋" w:eastAsia="仿宋_GB2312" w:cs="Times New Roman"/>
          <w:sz w:val="28"/>
          <w:szCs w:val="28"/>
        </w:rPr>
        <w:t>接受</w:t>
      </w:r>
      <w:r>
        <w:rPr>
          <w:rFonts w:hint="eastAsia" w:ascii="仿宋_GB2312" w:hAnsi="仿宋" w:eastAsia="仿宋_GB2312" w:cs="Times New Roman"/>
          <w:sz w:val="28"/>
          <w:szCs w:val="28"/>
        </w:rPr>
        <w:t>项目行</w:t>
      </w:r>
      <w:r>
        <w:rPr>
          <w:rFonts w:ascii="仿宋_GB2312" w:hAnsi="仿宋" w:eastAsia="仿宋_GB2312" w:cs="Times New Roman"/>
          <w:sz w:val="28"/>
          <w:szCs w:val="28"/>
        </w:rPr>
        <w:t>业管理部门及政府有关部门的指导，接受甲方的监督。</w:t>
      </w:r>
    </w:p>
    <w:p w14:paraId="2F27DF46">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5、</w:t>
      </w:r>
      <w:r>
        <w:rPr>
          <w:rFonts w:ascii="仿宋_GB2312" w:hAnsi="仿宋" w:eastAsia="仿宋_GB2312" w:cs="Times New Roman"/>
          <w:sz w:val="28"/>
          <w:szCs w:val="28"/>
        </w:rPr>
        <w:t>国家法律、法规所规定由乙方承担的其它责任。</w:t>
      </w:r>
    </w:p>
    <w:p w14:paraId="27AD3ED9">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九、保密条款</w:t>
      </w:r>
    </w:p>
    <w:p w14:paraId="3C50CA12">
      <w:pPr>
        <w:adjustRightInd w:val="0"/>
        <w:snapToGrid w:val="0"/>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1、乙方应妥善保管甲方所提供的有关资料，未经甲方书面同意不得泄露、发布或转让第三方，本合同的变更、解除或终止不影响乙方承担保密义务。</w:t>
      </w:r>
    </w:p>
    <w:p w14:paraId="0264FA12">
      <w:pPr>
        <w:adjustRightInd w:val="0"/>
        <w:snapToGrid w:val="0"/>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2、合同双方在订立合同过程中知悉的对方商业秘密等资料，无论合同是否成立，不得泄密或不正当使用。</w:t>
      </w:r>
    </w:p>
    <w:p w14:paraId="76DA3CBB">
      <w:pPr>
        <w:spacing w:line="360" w:lineRule="auto"/>
        <w:ind w:firstLine="560" w:firstLineChars="200"/>
        <w:rPr>
          <w:rFonts w:ascii="仿宋_GB2312" w:hAnsi="宋体" w:eastAsia="仿宋_GB2312" w:cs="Arial"/>
          <w:sz w:val="28"/>
          <w:szCs w:val="28"/>
        </w:rPr>
      </w:pPr>
      <w:r>
        <w:rPr>
          <w:rFonts w:hint="eastAsia" w:ascii="仿宋_GB2312" w:hAnsi="宋体" w:eastAsia="仿宋_GB2312" w:cs="Arial"/>
          <w:sz w:val="28"/>
          <w:szCs w:val="28"/>
        </w:rPr>
        <w:t>3、泄密或不正当使用对方商业秘密给对方造成损失的，应该承担赔偿责任。</w:t>
      </w:r>
    </w:p>
    <w:p w14:paraId="2D58DAFB">
      <w:pPr>
        <w:spacing w:line="360" w:lineRule="auto"/>
        <w:ind w:firstLine="560" w:firstLineChars="200"/>
        <w:rPr>
          <w:rFonts w:ascii="仿宋_GB2312" w:hAnsi="宋体" w:eastAsia="仿宋_GB2312" w:cs="Arial"/>
          <w:sz w:val="28"/>
          <w:szCs w:val="28"/>
        </w:rPr>
      </w:pPr>
      <w:r>
        <w:rPr>
          <w:rFonts w:hint="eastAsia" w:ascii="仿宋_GB2312" w:hAnsi="宋体" w:eastAsia="仿宋_GB2312" w:cs="Arial"/>
          <w:sz w:val="28"/>
          <w:szCs w:val="28"/>
        </w:rPr>
        <w:t>4、保密责任不因合同履行完毕而解除。未经双方同意，任何一方不得以任何形式公开本合同及附件内容，以及在合同订立、履行中知悉的对方商业秘密等资料。</w:t>
      </w:r>
    </w:p>
    <w:p w14:paraId="44D5A221">
      <w:pPr>
        <w:spacing w:line="360" w:lineRule="auto"/>
        <w:ind w:firstLine="560" w:firstLineChars="200"/>
        <w:rPr>
          <w:rFonts w:ascii="仿宋_GB2312" w:hAnsi="仿宋" w:eastAsia="仿宋_GB2312" w:cs="Times New Roman"/>
          <w:sz w:val="28"/>
          <w:szCs w:val="28"/>
        </w:rPr>
      </w:pPr>
      <w:r>
        <w:rPr>
          <w:rFonts w:hint="eastAsia" w:ascii="仿宋_GB2312" w:hAnsi="宋体" w:eastAsia="仿宋_GB2312" w:cs="Arial"/>
          <w:sz w:val="28"/>
          <w:szCs w:val="28"/>
        </w:rPr>
        <w:t>5、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52B9A8C0">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十、违约责任</w:t>
      </w:r>
    </w:p>
    <w:p w14:paraId="378BA2A5">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1、违约责任按《中华人民共和国民法典》处理中的相关条款执行。</w:t>
      </w:r>
    </w:p>
    <w:p w14:paraId="02EB6611">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2、乙方应按合同约定时间完成各阶段合同义务，若发生延迟，甲方可以视情况向乙方收取不少于合同总价款5%的违约金，且甲方有权单方解除本合同。但甲方书面同意延迟或因甲方原因导致延迟的，乙方不承担违约责任。</w:t>
      </w:r>
    </w:p>
    <w:p w14:paraId="1BB750A7">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3、如甲方未能在本合同约定时间内支付款项，每延迟一天，甲方须向乙方承担迟延支付费用的0.5‰作为违约金，并将服务周期予以相应顺延。</w:t>
      </w:r>
    </w:p>
    <w:p w14:paraId="629DCC2B">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4、本次活动因乙方原因导致侵害甲方或第三方合法权益的，应由乙方承担相应赔偿责任，并向甲方支付不少于合同总价款10%的违约金。</w:t>
      </w:r>
    </w:p>
    <w:p w14:paraId="5AAE72A0">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5、若乙方未经甲方同意泄露本合同约定的任何秘密信息的，乙方应按照不少于合同总价款的10%向甲方支付违约金，并赔偿因此给甲方造成的损失。</w:t>
      </w:r>
    </w:p>
    <w:p w14:paraId="71703844">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792B883A">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十一、不可抗力事件处理</w:t>
      </w:r>
    </w:p>
    <w:p w14:paraId="16161F45">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9BA59D4">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14:paraId="2D1509F6">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十二、合同组成</w:t>
      </w:r>
    </w:p>
    <w:p w14:paraId="1B2BE415">
      <w:pPr>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1、成交通知书</w:t>
      </w:r>
    </w:p>
    <w:p w14:paraId="7DD9B891">
      <w:pPr>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2、合同文件</w:t>
      </w:r>
    </w:p>
    <w:p w14:paraId="248A82B2">
      <w:pPr>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3、国家相关规范及标准</w:t>
      </w:r>
    </w:p>
    <w:p w14:paraId="70C4AF6B">
      <w:pPr>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4、单一来源采购文件</w:t>
      </w:r>
    </w:p>
    <w:p w14:paraId="448A8405">
      <w:pPr>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5、响应文件</w:t>
      </w:r>
    </w:p>
    <w:p w14:paraId="10F7A03E">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十三、解决争议的方法</w:t>
      </w:r>
    </w:p>
    <w:p w14:paraId="06CB17A2">
      <w:pPr>
        <w:widowControl/>
        <w:autoSpaceDE w:val="0"/>
        <w:autoSpaceDN w:val="0"/>
        <w:snapToGrid w:val="0"/>
        <w:spacing w:line="360" w:lineRule="auto"/>
        <w:ind w:right="-110"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凡因本合同引起的或与本合同有关的争议，双方应友好协商解决。协商不成时，双方均同意采用以下第（  ）种争议解决方式：</w:t>
      </w:r>
    </w:p>
    <w:p w14:paraId="385662AA">
      <w:pPr>
        <w:widowControl/>
        <w:autoSpaceDE w:val="0"/>
        <w:autoSpaceDN w:val="0"/>
        <w:snapToGrid w:val="0"/>
        <w:spacing w:line="360" w:lineRule="auto"/>
        <w:ind w:right="-110"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（1）甲、乙双方均同意向（甲方所在地人民法院）提起诉讼。</w:t>
      </w:r>
    </w:p>
    <w:p w14:paraId="6513F22A">
      <w:pPr>
        <w:widowControl/>
        <w:autoSpaceDE w:val="0"/>
        <w:autoSpaceDN w:val="0"/>
        <w:snapToGrid w:val="0"/>
        <w:spacing w:line="360" w:lineRule="auto"/>
        <w:ind w:right="-110"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仿宋_GB2312" w:hAnsi="仿宋" w:eastAsia="仿宋_GB2312" w:cs="Times New Roman"/>
          <w:kern w:val="0"/>
          <w:sz w:val="28"/>
          <w:szCs w:val="28"/>
        </w:rPr>
        <w:t>仲裁委员会</w:t>
      </w:r>
      <w:r>
        <w:rPr>
          <w:rFonts w:hint="eastAsia" w:ascii="仿宋_GB2312" w:hAnsi="仿宋" w:eastAsia="仿宋_GB2312" w:cs="Times New Roman"/>
          <w:kern w:val="0"/>
          <w:sz w:val="28"/>
          <w:szCs w:val="28"/>
        </w:rPr>
        <w:fldChar w:fldCharType="end"/>
      </w:r>
      <w:r>
        <w:rPr>
          <w:rFonts w:hint="eastAsia" w:ascii="仿宋_GB2312" w:hAnsi="仿宋" w:eastAsia="仿宋_GB2312" w:cs="Times New Roman"/>
          <w:kern w:val="0"/>
          <w:sz w:val="28"/>
          <w:szCs w:val="28"/>
        </w:rPr>
        <w:t>）提起仲裁。</w:t>
      </w:r>
    </w:p>
    <w:p w14:paraId="493E305D">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十四、合同生效及其它</w:t>
      </w:r>
    </w:p>
    <w:p w14:paraId="71D24A55">
      <w:pPr>
        <w:widowControl/>
        <w:autoSpaceDE w:val="0"/>
        <w:autoSpaceDN w:val="0"/>
        <w:snapToGrid w:val="0"/>
        <w:spacing w:line="360" w:lineRule="auto"/>
        <w:ind w:right="-110"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1、合同未尽事宜、由甲、乙双方协商，作为合同补充，与原合同具有同等法律效力。</w:t>
      </w:r>
    </w:p>
    <w:p w14:paraId="2B7A83F5">
      <w:pPr>
        <w:widowControl/>
        <w:tabs>
          <w:tab w:val="left" w:pos="8391"/>
        </w:tabs>
        <w:autoSpaceDE w:val="0"/>
        <w:autoSpaceDN w:val="0"/>
        <w:snapToGrid w:val="0"/>
        <w:spacing w:line="360" w:lineRule="auto"/>
        <w:ind w:right="-69"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2、 本合同一式</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份，甲方、乙方双方分别执</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份，备案</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w:t>
      </w:r>
    </w:p>
    <w:p w14:paraId="16252932">
      <w:pPr>
        <w:widowControl/>
        <w:tabs>
          <w:tab w:val="left" w:pos="8391"/>
        </w:tabs>
        <w:autoSpaceDE w:val="0"/>
        <w:autoSpaceDN w:val="0"/>
        <w:snapToGrid w:val="0"/>
        <w:spacing w:line="360" w:lineRule="auto"/>
        <w:ind w:right="-69"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3、合同经甲乙双方盖章、签字后生效，合同签订地点为</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w:t>
      </w:r>
    </w:p>
    <w:p w14:paraId="2AAA18D0">
      <w:pPr>
        <w:widowControl/>
        <w:tabs>
          <w:tab w:val="left" w:pos="8391"/>
        </w:tabs>
        <w:autoSpaceDE w:val="0"/>
        <w:autoSpaceDN w:val="0"/>
        <w:snapToGrid w:val="0"/>
        <w:spacing w:line="360" w:lineRule="auto"/>
        <w:ind w:right="-69"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4、生效时间：</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年</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月</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日</w:t>
      </w:r>
    </w:p>
    <w:p w14:paraId="5A86BF80">
      <w:pPr>
        <w:rPr>
          <w:rFonts w:ascii="Times New Roman" w:hAnsi="Times New Roman" w:eastAsia="宋体" w:cs="Times New Roman"/>
          <w:szCs w:val="20"/>
        </w:rPr>
      </w:pPr>
    </w:p>
    <w:tbl>
      <w:tblPr>
        <w:tblStyle w:val="4"/>
        <w:tblW w:w="0" w:type="auto"/>
        <w:jc w:val="center"/>
        <w:tblLayout w:type="fixed"/>
        <w:tblCellMar>
          <w:top w:w="0" w:type="dxa"/>
          <w:left w:w="108" w:type="dxa"/>
          <w:bottom w:w="0" w:type="dxa"/>
          <w:right w:w="108" w:type="dxa"/>
        </w:tblCellMar>
      </w:tblPr>
      <w:tblGrid>
        <w:gridCol w:w="4643"/>
        <w:gridCol w:w="4643"/>
      </w:tblGrid>
      <w:tr w14:paraId="2FD0BCFD">
        <w:tblPrEx>
          <w:tblCellMar>
            <w:top w:w="0" w:type="dxa"/>
            <w:left w:w="108" w:type="dxa"/>
            <w:bottom w:w="0" w:type="dxa"/>
            <w:right w:w="108" w:type="dxa"/>
          </w:tblCellMar>
        </w:tblPrEx>
        <w:trPr>
          <w:jc w:val="center"/>
        </w:trPr>
        <w:tc>
          <w:tcPr>
            <w:tcW w:w="4643" w:type="dxa"/>
          </w:tcPr>
          <w:p w14:paraId="7E6D6677">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甲方名称</w:t>
            </w:r>
            <w:r>
              <w:rPr>
                <w:rFonts w:hint="eastAsia" w:ascii="仿宋_GB2312" w:hAnsi="仿宋" w:eastAsia="仿宋_GB2312" w:cs="Times New Roman"/>
                <w:spacing w:val="-20"/>
                <w:kern w:val="0"/>
                <w:sz w:val="28"/>
                <w:szCs w:val="28"/>
              </w:rPr>
              <w:t>（盖章）</w:t>
            </w:r>
            <w:r>
              <w:rPr>
                <w:rFonts w:hint="eastAsia" w:ascii="仿宋_GB2312" w:hAnsi="仿宋" w:eastAsia="仿宋_GB2312" w:cs="Times New Roman"/>
                <w:kern w:val="0"/>
                <w:sz w:val="28"/>
                <w:szCs w:val="28"/>
              </w:rPr>
              <w:t>:</w:t>
            </w:r>
          </w:p>
          <w:p w14:paraId="4600E2AF">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地址：</w:t>
            </w:r>
          </w:p>
          <w:p w14:paraId="2B052C5E">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代表人（签字）：</w:t>
            </w:r>
          </w:p>
          <w:p w14:paraId="0083CEFF">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电话：</w:t>
            </w:r>
          </w:p>
          <w:p w14:paraId="5BA8ACA1">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开户银行：</w:t>
            </w:r>
          </w:p>
          <w:p w14:paraId="70F38BD5">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帐号：</w:t>
            </w:r>
          </w:p>
        </w:tc>
        <w:tc>
          <w:tcPr>
            <w:tcW w:w="4643" w:type="dxa"/>
          </w:tcPr>
          <w:p w14:paraId="4A484C89">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乙方名称</w:t>
            </w:r>
            <w:r>
              <w:rPr>
                <w:rFonts w:hint="eastAsia" w:ascii="仿宋_GB2312" w:hAnsi="仿宋" w:eastAsia="仿宋_GB2312" w:cs="Times New Roman"/>
                <w:spacing w:val="-20"/>
                <w:kern w:val="0"/>
                <w:sz w:val="28"/>
                <w:szCs w:val="28"/>
              </w:rPr>
              <w:t>（盖章）</w:t>
            </w:r>
            <w:r>
              <w:rPr>
                <w:rFonts w:hint="eastAsia" w:ascii="仿宋_GB2312" w:hAnsi="仿宋" w:eastAsia="仿宋_GB2312" w:cs="Times New Roman"/>
                <w:kern w:val="0"/>
                <w:sz w:val="28"/>
                <w:szCs w:val="28"/>
              </w:rPr>
              <w:t>:</w:t>
            </w:r>
          </w:p>
          <w:p w14:paraId="52ACFBCF">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地址：</w:t>
            </w:r>
          </w:p>
          <w:p w14:paraId="51451E72">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代表人（签字）：</w:t>
            </w:r>
          </w:p>
          <w:p w14:paraId="63ADEAFB">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电话：</w:t>
            </w:r>
          </w:p>
          <w:p w14:paraId="221C8AC8">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开户银行：</w:t>
            </w:r>
          </w:p>
          <w:p w14:paraId="7F9E13EA">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帐号：</w:t>
            </w:r>
          </w:p>
          <w:p w14:paraId="6E6EE83F">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p>
        </w:tc>
      </w:tr>
      <w:bookmarkEnd w:id="4"/>
    </w:tbl>
    <w:p w14:paraId="305583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3E7"/>
    <w:rsid w:val="000E1F11"/>
    <w:rsid w:val="001174A4"/>
    <w:rsid w:val="001F15A1"/>
    <w:rsid w:val="003E3E28"/>
    <w:rsid w:val="00655080"/>
    <w:rsid w:val="00717D96"/>
    <w:rsid w:val="00853C9D"/>
    <w:rsid w:val="00A43BB5"/>
    <w:rsid w:val="00A933E7"/>
    <w:rsid w:val="00D66B0C"/>
    <w:rsid w:val="00ED2FC9"/>
    <w:rsid w:val="00F033C6"/>
    <w:rsid w:val="00F940F1"/>
    <w:rsid w:val="01D01D7F"/>
    <w:rsid w:val="26324148"/>
    <w:rsid w:val="2A167007"/>
    <w:rsid w:val="43472F01"/>
    <w:rsid w:val="54176F1D"/>
    <w:rsid w:val="72CD6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Char1 Char Char Char"/>
    <w:basedOn w:val="1"/>
    <w:qFormat/>
    <w:uiPriority w:val="0"/>
    <w:rPr>
      <w:rFonts w:ascii="Tahoma" w:hAnsi="Tahoma"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2111</Words>
  <Characters>2142</Characters>
  <Lines>16</Lines>
  <Paragraphs>4</Paragraphs>
  <TotalTime>0</TotalTime>
  <ScaleCrop>false</ScaleCrop>
  <LinksUpToDate>false</LinksUpToDate>
  <CharactersWithSpaces>2176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2024-04-26T04:06:00Z</dcterms:created>
  <dc:creator>AA</dc:creator>
  <cp:lastModifiedBy>jillian</cp:lastModifiedBy>
  <dcterms:modified xsi:type="dcterms:W3CDTF">2025-12-25T01:15:49Z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eyJoZGlkIjoiOWNkODk0Yzk4YThhZTUxYjE4YjI3ZGQ1ZWZmMWIzMGUiLCJ1c2VySWQiOiI0MjM4MzIyNzIifQ==</vt:lpwstr>
  </property>
  <property fmtid="{D5CDD505-2E9C-101B-9397-08002B2CF9AE}" pid="3" name="KSOProductBuildVer">
    <vt:lpwstr>2052-12.1.0.24034</vt:lpwstr>
  </property>
  <property fmtid="{D5CDD505-2E9C-101B-9397-08002B2CF9AE}" pid="4" name="ICV">
    <vt:lpwstr>C37F184DF86D415EA659E8316124409F_12</vt:lpwstr>
  </property>
</Properties>
</file>