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版本号：JXDZ2025-ZCYT-120520251230001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公务用车信息化监督管理平台技术服务项目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JXDZ2025-ZCYT-1205</w:t>
      </w:r>
      <w:r>
        <w:br/>
      </w:r>
      <w:r>
        <w:br/>
      </w:r>
      <w:r>
        <w:br/>
      </w:r>
    </w:p>
    <w:p>
      <w:pPr>
        <w:pStyle w:val="null3"/>
        <w:jc w:val="center"/>
        <w:outlineLvl w:val="5"/>
      </w:pPr>
      <w:r>
        <w:rPr>
          <w:rFonts w:ascii="仿宋_GB2312" w:hAnsi="仿宋_GB2312" w:cs="仿宋_GB2312" w:eastAsia="仿宋_GB2312"/>
          <w:sz w:val="15"/>
          <w:b/>
        </w:rPr>
        <w:t>西安市雁塔区机关事务服务中心</w:t>
      </w:r>
    </w:p>
    <w:p>
      <w:pPr>
        <w:pStyle w:val="null3"/>
        <w:jc w:val="center"/>
        <w:outlineLvl w:val="5"/>
      </w:pPr>
      <w:r>
        <w:rPr>
          <w:rFonts w:ascii="仿宋_GB2312" w:hAnsi="仿宋_GB2312" w:cs="仿宋_GB2312" w:eastAsia="仿宋_GB2312"/>
          <w:sz w:val="15"/>
          <w:b/>
        </w:rPr>
        <w:t>陕西钜信达工程项目管理有限公司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西安市雁塔区机关事务服务中心</w:t>
      </w:r>
      <w:r>
        <w:rPr>
          <w:rFonts w:ascii="仿宋_GB2312" w:hAnsi="仿宋_GB2312" w:cs="仿宋_GB2312" w:eastAsia="仿宋_GB2312"/>
        </w:rPr>
        <w:t>委托，拟对</w:t>
      </w:r>
      <w:r>
        <w:rPr>
          <w:rFonts w:ascii="仿宋_GB2312" w:hAnsi="仿宋_GB2312" w:cs="仿宋_GB2312" w:eastAsia="仿宋_GB2312"/>
        </w:rPr>
        <w:t>公务用车信息化监督管理平台技术服务项目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JXDZ2025-ZCYT-1205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公务用车信息化监督管理平台技术服务项目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需要对整个系统平台进行为期1年的维护，维护的范围包括网络、服务器及数据的日常运维；对系统及服务器漏洞扫描与防护；对系统功能的完善及升级；对硬件设备的维护保养；对短信平台服务、物联网SIM流量专人进行日常管理。针对软件平台系统进行日常维护，每天定时登录服务器检查程序服务中间件、软件系统、服务器软件日志是否存在异常和报错，检查服务器网络是否存在异常；定期漏洞修复；平台功能升级、车载客户端软件、平台联调集成、接入后管理运营、数据备份等维护性操作。对539台北斗定位终端拆除、改装、维修、定期巡检、维护保养、设备系统升级。</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采购包1（公务用车信息化监督管理平台技术服务项目）：属于专门面向中小企业采购。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3、本项目不接受联合体投标。：本项目不接受联合体投标。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宗科长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029-85381268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西安市雁塔区雁翔路111号中京坊公寓B座623室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15094017739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采购包1：770,000.00元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采购包1：770,000.00元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代理服务费收费标准：招标代理服务费的收取参照国家计委关于印发《招标代理服务收费管理暂行办法》的通知（计价格〔2002〕1980号）收取。 缴纳方式：采用现金或转账方式缴纳（账号信息如下）。 账户名称: 陕西钜信达工程项目管理有限公司西安第一分公司 账号：129918351510001 开户行：招商银行股份有限公司西安西影路支行 转账事由：（项目简称或项目编号） 项目服务费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西安市雁塔区机关事务服务中心</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需要对整个系统平台进行为期1年的维护，维护的范围包括网络、服务器及数据的日常运维；对系统及服务器漏洞扫描与防护；对系统功能的完善及升级；对硬件设备的维护保养；对短信平台服务、物联网SIM流量专人进行日常管理。针对软件平台系统进行日常维护，每天定时登录服务器检查程序服务中间件、软件系统、服务器软件日志是否存在异常和报错，检查服务器网络是否存在异常；定期漏洞修复；平台功能升级、车载客户端软件、平台联调集成、接入后管理运营、数据备份等维护性操作。对539台北斗定位终端拆除、改装、维修、定期巡检、维护保养、设备系统升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公务用车信息化监督管理平台技术服务项目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标的名称：公务用车信息化监督管理平台技术服务项目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6"/>
              <w:gridCol w:w="369"/>
              <w:gridCol w:w="322"/>
              <w:gridCol w:w="913"/>
              <w:gridCol w:w="310"/>
              <w:gridCol w:w="267"/>
            </w:tblGrid>
            <w:tr>
              <w:tc>
                <w:tcPr>
                  <w:tcW w:type="dxa" w:w="2537"/>
                  <w:gridSpan w:val="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软件平台</w:t>
                  </w:r>
                </w:p>
              </w:tc>
            </w:tr>
            <w:tr>
              <w:tc>
                <w:tcPr>
                  <w:tcW w:type="dxa" w:w="7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功能模块</w:t>
                  </w:r>
                </w:p>
              </w:tc>
              <w:tc>
                <w:tcPr>
                  <w:tcW w:type="dxa" w:w="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功能描述（或参数要求）</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r>
            <w:tr>
              <w:tc>
                <w:tcPr>
                  <w:tcW w:type="dxa" w:w="725"/>
                  <w:gridSpan w:val="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公务用车信息管理平台</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用户登录</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Web端和APP端支持用户名和口令登录</w:t>
                  </w:r>
                </w:p>
              </w:tc>
              <w:tc>
                <w:tcPr>
                  <w:tcW w:type="dxa" w:w="31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1</w:t>
                  </w:r>
                </w:p>
              </w:tc>
              <w:tc>
                <w:tcPr>
                  <w:tcW w:type="dxa" w:w="26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套</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工作台</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展示公车平台总体运行状况，包括车辆数、车辆运行状态、订单数量、使用率等指标；不同角色登录看到不同的展示信息</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报警总览</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通过一张图可以看到整个平台车辆不同类型告警信息的总览数据。</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报警设置</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可以针对不同的场景和业务流程设置不同的告警规则条件，同时还可以针对短信提醒规则、数据上报规则、告警时效等参数进行设置。</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车辆报警</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包括超速报警、离线报警、未审批出车报警、断电报警等几种报警类型的业务数据的统计和呈现。</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全省一张网</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通过一张地图实现所有车辆在一张网中定位和呈现，也是体现省市县数据互通的一种场景；</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监督分析</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包括车辆统计、订单统计、历史统计等：可以对车辆数据进行统计；可按照单位部门、车辆类型等维度实现车辆统计，按照车辆的性质分类、车辆的类型进行统计；对产生的订单数据进行不同维度的统计分析，可按照出行次数、区域订单数、时间等维度进行统计，可按照数量进行排行；对车辆的使用频率进行统计和分析，按照使用率进行排行；</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用车申请</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支持在线申请公务用车流程，满足本单位用车、跨单位用车等不同场景下的流程需要；支持对于任务型场景下的用车需求，满足应急公务、执法执勤等特殊场景下的用车申请流程</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车辆监控</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支持在一张图上实现所有车辆的位置定位；针对车辆实时位置，可进行动态车辆跟踪，查看车辆当前状态和位置以及对应的订单信息；系统提供车辆轨迹回放功能，通过查询目标车辆运行的历史时间段，在地图上勾画车辆运行轨迹，并可动态播放；</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车辆档案</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提供对所有车辆登记功能，支持信息的更新、图片上传以及信息维护等基本功能；</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车辆维护</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平台应该具备对车辆的维保记录、加油管理、油卡、年检、违章、</w:t>
                  </w:r>
                  <w:r>
                    <w:rPr>
                      <w:rFonts w:ascii="仿宋_GB2312" w:hAnsi="仿宋_GB2312" w:cs="仿宋_GB2312" w:eastAsia="仿宋_GB2312"/>
                      <w:sz w:val="18"/>
                    </w:rPr>
                    <w:t>ETC、保险等，与车辆维护相关的管理功能，可以通过平台信息了解该车辆的运行维护现状；</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驾驶员管理</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提供对驾驶员信息的维护管理功能，可对驾驶员档案进行登记和维护；同时对于驾驶员考勤，包括出勤、请假等日常工作在岗状态进行管理；</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第三方公司对接</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系统提供针对可以提供合作的社会化车辆租赁、维保、保险等第三方运营公司的信息进行新增、编辑、删除、停用等日常管理操作</w:t>
                  </w:r>
                </w:p>
              </w:tc>
            </w:tr>
            <w:tr>
              <w:tc>
                <w:tcPr>
                  <w:tcW w:type="dxa" w:w="725"/>
                  <w:gridSpan w:val="2"/>
                  <w:vMerge/>
                  <w:tcBorders>
                    <w:top w:val="none" w:color="000000" w:sz="4"/>
                    <w:left w:val="single" w:color="000000" w:sz="4"/>
                    <w:bottom w:val="none" w:color="000000" w:sz="4"/>
                    <w:right w:val="single" w:color="000000" w:sz="4"/>
                  </w:tcBorders>
                </w:tc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系统设置</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为保证系统正常运行，提供用户管理、权限设置、角色、流程参数等有关基础维护的相关功能；</w:t>
                  </w:r>
                </w:p>
              </w:tc>
            </w:tr>
            <w:tr>
              <w:tc>
                <w:tcPr>
                  <w:tcW w:type="dxa" w:w="7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手机客户端软件</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手机</w:t>
                  </w:r>
                  <w:r>
                    <w:rPr>
                      <w:rFonts w:ascii="仿宋_GB2312" w:hAnsi="仿宋_GB2312" w:cs="仿宋_GB2312" w:eastAsia="仿宋_GB2312"/>
                      <w:sz w:val="18"/>
                    </w:rPr>
                    <w:t>APP</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实现驾驶员账号口令登录，在线任务操作，通过手机</w:t>
                  </w:r>
                  <w:r>
                    <w:rPr>
                      <w:rFonts w:ascii="仿宋_GB2312" w:hAnsi="仿宋_GB2312" w:cs="仿宋_GB2312" w:eastAsia="仿宋_GB2312"/>
                      <w:sz w:val="18"/>
                    </w:rPr>
                    <w:t>APP实现接单、执行任务、提交车辆产生费用、入库操作；在线申请维修、保养，在线申请请假、休假，打卡签到操作，实现任务导航功能等。</w:t>
                  </w:r>
                </w:p>
                <w:p>
                  <w:pPr>
                    <w:pStyle w:val="null3"/>
                    <w:jc w:val="both"/>
                  </w:pPr>
                  <w:r>
                    <w:rPr>
                      <w:rFonts w:ascii="仿宋_GB2312" w:hAnsi="仿宋_GB2312" w:cs="仿宋_GB2312" w:eastAsia="仿宋_GB2312"/>
                      <w:sz w:val="18"/>
                    </w:rPr>
                    <w:t>管理人员通过账号、口令登录，实现订单多级在线审批，车辆总体位置监控、单车任务跟踪、历史轨迹回放、费用核实、统计分析、调度日志查看。</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套</w:t>
                  </w:r>
                </w:p>
              </w:tc>
            </w:tr>
            <w:tr>
              <w:tc>
                <w:tcPr>
                  <w:tcW w:type="dxa" w:w="7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微信小程序</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实现驾驶员账号口令登录，在线任务操作，通过手机</w:t>
                  </w:r>
                  <w:r>
                    <w:rPr>
                      <w:rFonts w:ascii="仿宋_GB2312" w:hAnsi="仿宋_GB2312" w:cs="仿宋_GB2312" w:eastAsia="仿宋_GB2312"/>
                      <w:sz w:val="18"/>
                    </w:rPr>
                    <w:t>APP实现接单、执行任务、提交车辆产生费用、入库操作；在线申请维修、保养，在线申请请假、休假，打卡签到操作，实现任务导航功能等。</w:t>
                  </w:r>
                </w:p>
                <w:p>
                  <w:pPr>
                    <w:pStyle w:val="null3"/>
                    <w:jc w:val="both"/>
                  </w:pPr>
                  <w:r>
                    <w:rPr>
                      <w:rFonts w:ascii="仿宋_GB2312" w:hAnsi="仿宋_GB2312" w:cs="仿宋_GB2312" w:eastAsia="仿宋_GB2312"/>
                      <w:sz w:val="18"/>
                    </w:rPr>
                    <w:t>管理人员通过账号、口令登录，实现订单多级在线审批，车辆总体位置监控、单车任务跟踪、历史轨迹回放、费用核实、统计分析、调度日志查看。</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37"/>
                  <w:gridSpan w:val="6"/>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运行维护服务</w:t>
                  </w:r>
                </w:p>
              </w:tc>
            </w:tr>
            <w:tr>
              <w:tc>
                <w:tcPr>
                  <w:tcW w:type="dxa" w:w="7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运维服务项目</w:t>
                  </w:r>
                </w:p>
              </w:tc>
              <w:tc>
                <w:tcPr>
                  <w:tcW w:type="dxa" w:w="123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要求指标或服务内容</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r>
            <w:tr>
              <w:tc>
                <w:tcPr>
                  <w:tcW w:type="dxa" w:w="35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公务用车信息化管理服务平台维护费用</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网络、服务器及数据日常运维</w:t>
                  </w:r>
                </w:p>
              </w:tc>
              <w:tc>
                <w:tcPr>
                  <w:tcW w:type="dxa" w:w="1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为防止网络安全攻击对服务器、网络、数据库进行日常维护以及可能如设备、人员操作不当引起的数据损失或设备问题，保障数据的完整性和可用性，对数据库采用实时的增量备份，并进行每日凌晨的定期全量备份，数据备份文件压缩后存放于当地环境，并做好访问权限防护，也用于必要的数据恢复</w:t>
                  </w:r>
                </w:p>
              </w:tc>
              <w:tc>
                <w:tcPr>
                  <w:tcW w:type="dxa" w:w="31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539</w:t>
                  </w:r>
                </w:p>
              </w:tc>
              <w:tc>
                <w:tcPr>
                  <w:tcW w:type="dxa" w:w="26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台</w:t>
                  </w:r>
                </w:p>
              </w:tc>
            </w:tr>
            <w:tr>
              <w:tc>
                <w:tcPr>
                  <w:tcW w:type="dxa" w:w="356"/>
                  <w:vMerge/>
                  <w:tcBorders>
                    <w:top w:val="none" w:color="000000" w:sz="4"/>
                    <w:left w:val="single" w:color="000000" w:sz="4"/>
                    <w:bottom w:val="none" w:color="000000" w:sz="4"/>
                    <w:right w:val="single" w:color="000000" w:sz="4"/>
                  </w:tcBorders>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系统安全管理</w:t>
                  </w:r>
                </w:p>
              </w:tc>
              <w:tc>
                <w:tcPr>
                  <w:tcW w:type="dxa" w:w="1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提供系统及服务器漏洞扫描与防护，并提供报告</w:t>
                  </w:r>
                </w:p>
              </w:tc>
              <w:tc>
                <w:tcPr>
                  <w:tcW w:type="dxa" w:w="310"/>
                  <w:vMerge/>
                  <w:tcBorders>
                    <w:top w:val="none" w:color="000000" w:sz="4"/>
                    <w:left w:val="none" w:color="000000" w:sz="4"/>
                    <w:bottom w:val="none" w:color="000000" w:sz="4"/>
                    <w:right w:val="single" w:color="000000" w:sz="4"/>
                  </w:tcBorders>
                </w:tcPr>
                <w:p/>
              </w:tc>
              <w:tc>
                <w:tcPr>
                  <w:tcW w:type="dxa" w:w="267"/>
                  <w:vMerge/>
                  <w:tcBorders>
                    <w:top w:val="single" w:color="000000" w:sz="4"/>
                    <w:left w:val="none" w:color="000000" w:sz="4"/>
                    <w:bottom w:val="none" w:color="000000" w:sz="4"/>
                    <w:right w:val="single" w:color="000000" w:sz="4"/>
                  </w:tcBorders>
                </w:tcPr>
                <w:p/>
              </w:tc>
            </w:tr>
            <w:tr>
              <w:tc>
                <w:tcPr>
                  <w:tcW w:type="dxa" w:w="356"/>
                  <w:vMerge/>
                  <w:tcBorders>
                    <w:top w:val="none" w:color="000000" w:sz="4"/>
                    <w:left w:val="single" w:color="000000" w:sz="4"/>
                    <w:bottom w:val="none" w:color="000000" w:sz="4"/>
                    <w:right w:val="single" w:color="000000" w:sz="4"/>
                  </w:tcBorders>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系统功能需求变更</w:t>
                  </w:r>
                </w:p>
              </w:tc>
              <w:tc>
                <w:tcPr>
                  <w:tcW w:type="dxa" w:w="1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在使用系统的过程中，针对公务用车管理服务特点，进行系统适配需求变更及系统升级。个性化需求专项开发</w:t>
                  </w:r>
                </w:p>
              </w:tc>
              <w:tc>
                <w:tcPr>
                  <w:tcW w:type="dxa" w:w="310"/>
                  <w:vMerge/>
                  <w:tcBorders>
                    <w:top w:val="none" w:color="000000" w:sz="4"/>
                    <w:left w:val="none" w:color="000000" w:sz="4"/>
                    <w:bottom w:val="none" w:color="000000" w:sz="4"/>
                    <w:right w:val="single" w:color="000000" w:sz="4"/>
                  </w:tcBorders>
                </w:tcPr>
                <w:p/>
              </w:tc>
              <w:tc>
                <w:tcPr>
                  <w:tcW w:type="dxa" w:w="267"/>
                  <w:vMerge/>
                  <w:tcBorders>
                    <w:top w:val="single" w:color="000000" w:sz="4"/>
                    <w:left w:val="none" w:color="000000" w:sz="4"/>
                    <w:bottom w:val="none" w:color="000000" w:sz="4"/>
                    <w:right w:val="single" w:color="000000" w:sz="4"/>
                  </w:tcBorders>
                </w:tcPr>
                <w:p/>
              </w:tc>
            </w:tr>
            <w:tr>
              <w:tc>
                <w:tcPr>
                  <w:tcW w:type="dxa" w:w="356"/>
                  <w:vMerge/>
                  <w:tcBorders>
                    <w:top w:val="none" w:color="000000" w:sz="4"/>
                    <w:left w:val="single" w:color="000000" w:sz="4"/>
                    <w:bottom w:val="none" w:color="000000" w:sz="4"/>
                    <w:right w:val="single" w:color="000000" w:sz="4"/>
                  </w:tcBorders>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硬件设备维护</w:t>
                  </w:r>
                </w:p>
              </w:tc>
              <w:tc>
                <w:tcPr>
                  <w:tcW w:type="dxa" w:w="1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北斗定位终端拆除、改装、维修、定期巡检、维护保养、设备系统升级</w:t>
                  </w:r>
                </w:p>
              </w:tc>
              <w:tc>
                <w:tcPr>
                  <w:tcW w:type="dxa" w:w="310"/>
                  <w:vMerge/>
                  <w:tcBorders>
                    <w:top w:val="none" w:color="000000" w:sz="4"/>
                    <w:left w:val="none" w:color="000000" w:sz="4"/>
                    <w:bottom w:val="none" w:color="000000" w:sz="4"/>
                    <w:right w:val="single" w:color="000000" w:sz="4"/>
                  </w:tcBorders>
                </w:tcPr>
                <w:p/>
              </w:tc>
              <w:tc>
                <w:tcPr>
                  <w:tcW w:type="dxa" w:w="267"/>
                  <w:vMerge/>
                  <w:tcBorders>
                    <w:top w:val="single" w:color="000000" w:sz="4"/>
                    <w:left w:val="none" w:color="000000" w:sz="4"/>
                    <w:bottom w:val="none" w:color="000000" w:sz="4"/>
                    <w:right w:val="single" w:color="000000" w:sz="4"/>
                  </w:tcBorders>
                </w:tcPr>
                <w:p/>
              </w:tc>
            </w:tr>
            <w:tr>
              <w:tc>
                <w:tcPr>
                  <w:tcW w:type="dxa" w:w="356"/>
                  <w:vMerge/>
                  <w:tcBorders>
                    <w:top w:val="none" w:color="000000" w:sz="4"/>
                    <w:left w:val="single" w:color="000000" w:sz="4"/>
                    <w:bottom w:val="none" w:color="000000" w:sz="4"/>
                    <w:right w:val="single" w:color="000000" w:sz="4"/>
                  </w:tcBorders>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软件系统各项功能现场培训</w:t>
                  </w:r>
                </w:p>
              </w:tc>
              <w:tc>
                <w:tcPr>
                  <w:tcW w:type="dxa" w:w="1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系统电脑端、</w:t>
                  </w:r>
                  <w:r>
                    <w:rPr>
                      <w:rFonts w:ascii="仿宋_GB2312" w:hAnsi="仿宋_GB2312" w:cs="仿宋_GB2312" w:eastAsia="仿宋_GB2312"/>
                      <w:sz w:val="18"/>
                    </w:rPr>
                    <w:t>APP端、小程序的不定期培训</w:t>
                  </w:r>
                </w:p>
              </w:tc>
              <w:tc>
                <w:tcPr>
                  <w:tcW w:type="dxa" w:w="310"/>
                  <w:vMerge/>
                  <w:tcBorders>
                    <w:top w:val="none" w:color="000000" w:sz="4"/>
                    <w:left w:val="none" w:color="000000" w:sz="4"/>
                    <w:bottom w:val="none" w:color="000000" w:sz="4"/>
                    <w:right w:val="single" w:color="000000" w:sz="4"/>
                  </w:tcBorders>
                </w:tcPr>
                <w:p/>
              </w:tc>
              <w:tc>
                <w:tcPr>
                  <w:tcW w:type="dxa" w:w="267"/>
                  <w:vMerge/>
                  <w:tcBorders>
                    <w:top w:val="single" w:color="000000" w:sz="4"/>
                    <w:left w:val="none" w:color="000000" w:sz="4"/>
                    <w:bottom w:val="none" w:color="000000" w:sz="4"/>
                    <w:right w:val="single" w:color="000000" w:sz="4"/>
                  </w:tcBorders>
                </w:tcPr>
                <w:p/>
              </w:tc>
            </w:tr>
            <w:tr>
              <w:tc>
                <w:tcPr>
                  <w:tcW w:type="dxa" w:w="356"/>
                  <w:vMerge/>
                  <w:tcBorders>
                    <w:top w:val="none" w:color="000000" w:sz="4"/>
                    <w:left w:val="single" w:color="000000" w:sz="4"/>
                    <w:bottom w:val="none" w:color="000000" w:sz="4"/>
                    <w:right w:val="single" w:color="000000" w:sz="4"/>
                  </w:tcBorders>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服务台远程运维服务</w:t>
                  </w:r>
                </w:p>
              </w:tc>
              <w:tc>
                <w:tcPr>
                  <w:tcW w:type="dxa" w:w="1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提供手机、微信群、微信等多种渠道的售后服务，为各使用单位提供</w:t>
                  </w:r>
                  <w:r>
                    <w:rPr>
                      <w:rFonts w:ascii="仿宋_GB2312" w:hAnsi="仿宋_GB2312" w:cs="仿宋_GB2312" w:eastAsia="仿宋_GB2312"/>
                      <w:sz w:val="18"/>
                    </w:rPr>
                    <w:t>7×24小时服务。</w:t>
                  </w:r>
                </w:p>
              </w:tc>
              <w:tc>
                <w:tcPr>
                  <w:tcW w:type="dxa" w:w="310"/>
                  <w:vMerge/>
                  <w:tcBorders>
                    <w:top w:val="none" w:color="000000" w:sz="4"/>
                    <w:left w:val="none" w:color="000000" w:sz="4"/>
                    <w:bottom w:val="none" w:color="000000" w:sz="4"/>
                    <w:right w:val="single" w:color="000000" w:sz="4"/>
                  </w:tcBorders>
                </w:tcPr>
                <w:p/>
              </w:tc>
              <w:tc>
                <w:tcPr>
                  <w:tcW w:type="dxa" w:w="267"/>
                  <w:vMerge/>
                  <w:tcBorders>
                    <w:top w:val="single" w:color="000000" w:sz="4"/>
                    <w:left w:val="none" w:color="000000" w:sz="4"/>
                    <w:bottom w:val="none" w:color="000000" w:sz="4"/>
                    <w:right w:val="single" w:color="000000" w:sz="4"/>
                  </w:tcBorders>
                </w:tcP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SIM卡流量费</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物联网</w:t>
                  </w:r>
                  <w:r>
                    <w:rPr>
                      <w:rFonts w:ascii="仿宋_GB2312" w:hAnsi="仿宋_GB2312" w:cs="仿宋_GB2312" w:eastAsia="仿宋_GB2312"/>
                      <w:sz w:val="18"/>
                    </w:rPr>
                    <w:t>SIM卡流量费</w:t>
                  </w:r>
                </w:p>
              </w:tc>
              <w:tc>
                <w:tcPr>
                  <w:tcW w:type="dxa" w:w="1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物联网卡移动数据通讯及流量费，用于车辆定位系统、设备远程升级维护所有数据通讯</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539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平台短信服务费</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平台短信服务费</w:t>
                  </w:r>
                </w:p>
              </w:tc>
              <w:tc>
                <w:tcPr>
                  <w:tcW w:type="dxa" w:w="1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18"/>
                    </w:rPr>
                    <w:t>10690专用通道短信费；用于平台系统所有用车申请、审核、调度等短信通知，会议培训通知及相关报警事件触发提醒通知等。</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18"/>
                    </w:rPr>
                    <w:t>年</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平台云资源服务费</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平台云资源服务费</w:t>
                  </w:r>
                </w:p>
              </w:tc>
              <w:tc>
                <w:tcPr>
                  <w:tcW w:type="dxa" w:w="12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云服务器租赁：包括信息安全防护、防火墙、云服务主机、存储、网络带宽和数据灾备服务。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年</w:t>
                  </w:r>
                </w:p>
              </w:tc>
            </w:tr>
          </w:tbl>
          <w:p>
            <w:pPr>
              <w:pStyle w:val="null3"/>
            </w:pPr>
            <w:r>
              <w:rPr>
                <w:rFonts w:ascii="仿宋_GB2312" w:hAnsi="仿宋_GB2312" w:cs="仿宋_GB2312" w:eastAsia="仿宋_GB2312"/>
                <w:sz w:val="18"/>
                <w:b/>
              </w:rPr>
              <w:t>服务内容：</w:t>
            </w:r>
            <w:r>
              <w:rPr>
                <w:rFonts w:ascii="仿宋_GB2312" w:hAnsi="仿宋_GB2312" w:cs="仿宋_GB2312" w:eastAsia="仿宋_GB2312"/>
                <w:sz w:val="18"/>
              </w:rPr>
              <w:t>需要对整个系统平台进行为期</w:t>
            </w:r>
            <w:r>
              <w:rPr>
                <w:rFonts w:ascii="仿宋_GB2312" w:hAnsi="仿宋_GB2312" w:cs="仿宋_GB2312" w:eastAsia="仿宋_GB2312"/>
                <w:sz w:val="18"/>
              </w:rPr>
              <w:t>1</w:t>
            </w:r>
            <w:r>
              <w:rPr>
                <w:rFonts w:ascii="仿宋_GB2312" w:hAnsi="仿宋_GB2312" w:cs="仿宋_GB2312" w:eastAsia="仿宋_GB2312"/>
                <w:sz w:val="18"/>
              </w:rPr>
              <w:t>年的维护，维护的范围包括网络、服务器及数据的日常运维；对系统及服务器漏洞扫描与防护；对系统功能的完善及升级；对硬件设备的维护保养；对短信平台服务、物联网</w:t>
            </w:r>
            <w:r>
              <w:rPr>
                <w:rFonts w:ascii="仿宋_GB2312" w:hAnsi="仿宋_GB2312" w:cs="仿宋_GB2312" w:eastAsia="仿宋_GB2312"/>
                <w:sz w:val="18"/>
              </w:rPr>
              <w:t>SIM流量专人进行日常管理。针对软件平台系统进行日常维护，每天定时登录服务器检查程序服务中间件、软件系统、服务器软件日志是否存在异常和报错，检查服务器网络是否存在异常；定期漏洞修复；平台功能升级、车载客户端软件、平台联调集成、接入后管理运营、数据备份等维护性操作。对539台北斗定位终端拆除、改装、维修、定期巡检、维护保养、设备系统升级。</w:t>
            </w:r>
          </w:p>
          <w:p>
            <w:pPr>
              <w:pStyle w:val="null3"/>
            </w:pPr>
            <w:r>
              <w:rPr>
                <w:rFonts w:ascii="仿宋_GB2312" w:hAnsi="仿宋_GB2312" w:cs="仿宋_GB2312" w:eastAsia="仿宋_GB2312"/>
                <w:sz w:val="18"/>
                <w:b/>
              </w:rPr>
              <w:t>服务要求：</w:t>
            </w:r>
          </w:p>
          <w:p>
            <w:pPr>
              <w:pStyle w:val="null3"/>
            </w:pPr>
            <w:r>
              <w:rPr>
                <w:rFonts w:ascii="仿宋_GB2312" w:hAnsi="仿宋_GB2312" w:cs="仿宋_GB2312" w:eastAsia="仿宋_GB2312"/>
                <w:sz w:val="18"/>
              </w:rPr>
              <w:t>1、满足季度巡检及服务；</w:t>
            </w:r>
          </w:p>
          <w:p>
            <w:pPr>
              <w:pStyle w:val="null3"/>
            </w:pPr>
            <w:r>
              <w:rPr>
                <w:rFonts w:ascii="仿宋_GB2312" w:hAnsi="仿宋_GB2312" w:cs="仿宋_GB2312" w:eastAsia="仿宋_GB2312"/>
                <w:sz w:val="18"/>
              </w:rPr>
              <w:t>2、满足系统正常运转及接入全市、全省一张网；</w:t>
            </w:r>
          </w:p>
          <w:p>
            <w:pPr>
              <w:pStyle w:val="null3"/>
            </w:pPr>
            <w:r>
              <w:rPr>
                <w:rFonts w:ascii="仿宋_GB2312" w:hAnsi="仿宋_GB2312" w:cs="仿宋_GB2312" w:eastAsia="仿宋_GB2312"/>
                <w:sz w:val="18"/>
              </w:rPr>
              <w:t>3、提供远程技术咨询与业务培训服务；</w:t>
            </w:r>
          </w:p>
          <w:p>
            <w:pPr>
              <w:pStyle w:val="null3"/>
            </w:pPr>
            <w:r>
              <w:rPr>
                <w:rFonts w:ascii="仿宋_GB2312" w:hAnsi="仿宋_GB2312" w:cs="仿宋_GB2312" w:eastAsia="仿宋_GB2312"/>
                <w:sz w:val="18"/>
              </w:rPr>
              <w:t>4、提供排除故障服务。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合同签订后完成项目进度一半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履约期满前一个月，根据平台实际注册车辆 ，乙方向甲方出具项目结算单明细，得到甲方确认后，支付合同剩余款项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2）供应商务必在开标截止时间30分钟前，通过项目电子化交易系统进行签到，如未进行签到，产生的一切后果由供应商自行承担。 （3）供应商的投标报价包括人工费，管理费，税费等所有费用，并符合计价规则。（4）签名是指手写签名或者加盖姓名章， 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资格证明文件1.docx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w:t>
            </w:r>
          </w:p>
        </w:tc>
        <w:tc>
          <w:tcPr>
            <w:tcW w:type="dxa" w:w="3322"/>
          </w:tcPr>
          <w:p>
            <w:pPr>
              <w:pStyle w:val="null3"/>
            </w:pPr>
            <w:r>
              <w:rPr>
                <w:rFonts w:ascii="仿宋_GB2312" w:hAnsi="仿宋_GB2312" w:cs="仿宋_GB2312" w:eastAsia="仿宋_GB2312"/>
              </w:rPr>
              <w:t>投标人通过“信用中国”网站(www.creditchina.gov.cn)和中国政府采购网(www.ccgp.gov.cn) 查询相关主体信用记录，查询节点应在采购文件获取期至投标文件递交截止时间之间。（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资格证明文件1.docx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资格证明文件1.docx 中小企业声明函 残疾人福利性单位声明函 服务方案 标的清单 报价表 响应函 监狱企业的证明文件 报价清单明细表.docx 商务及技术响应偏离表1.docx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资格证明文件1.docx 中小企业声明函 残疾人福利性单位声明函 服务方案 标的清单 报价表 响应函 报价清单明细表.docx 监狱企业的证明文件 商务及技术响应偏离表1.docx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资格证明文件1.docx 中小企业声明函 残疾人福利性单位声明函 服务方案 标的清单 报价表 响应函 监狱企业的证明文件 商务及技术响应偏离表1.docx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资格证明文件1.docx 中小企业声明函 残疾人福利性单位声明函 服务方案 标的清单 报价表 响应函 监狱企业的证明文件 报价清单明细表.docx 商务及技术响应偏离表1.docx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响应文件封面 资格证明文件1.docx 中小企业声明函 残疾人福利性单位声明函 服务方案 标的清单 报价表 响应函 监狱企业的证明文件 报价清单明细表.docx 商务及技术响应偏离表1.docx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资格证明文件1.docx 中小企业声明函 残疾人福利性单位声明函 服务方案 标的清单 报价表 响应函 监狱企业的证明文件 商务及技术响应偏离表1.docx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（2）报价表填写符合要求； （3）计量单位、报价货币均符合单一来源采购文件要求； （4）未超出采购预算或单一来源采购文件规定的最高限价。</w:t>
            </w:r>
          </w:p>
        </w:tc>
        <w:tc>
          <w:tcPr>
            <w:tcW w:type="dxa" w:w="1661"/>
          </w:tcPr>
          <w:p>
            <w:pPr>
              <w:pStyle w:val="null3"/>
            </w:pPr>
            <w:r>
              <w:rPr>
                <w:rFonts w:ascii="仿宋_GB2312" w:hAnsi="仿宋_GB2312" w:cs="仿宋_GB2312" w:eastAsia="仿宋_GB2312"/>
              </w:rPr>
              <w:t>响应文件封面 资格证明文件1.docx 中小企业声明函 残疾人福利性单位声明函 服务方案 标的清单 报价表 响应函 报价清单明细表.docx 监狱企业的证明文件 商务及技术响应偏离表1.docx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详见附件：资格证明文件1.docx</w:t>
      </w:r>
    </w:p>
    <w:p>
      <w:pPr>
        <w:pStyle w:val="null3"/>
        <w:ind w:firstLine="960"/>
      </w:pPr>
      <w:r>
        <w:rPr>
          <w:rFonts w:ascii="仿宋_GB2312" w:hAnsi="仿宋_GB2312" w:cs="仿宋_GB2312" w:eastAsia="仿宋_GB2312"/>
        </w:rPr>
        <w:t>详见附件：商务及技术响应偏离表1.docx</w:t>
      </w:r>
    </w:p>
    <w:p>
      <w:pPr>
        <w:pStyle w:val="null3"/>
        <w:ind w:firstLine="960"/>
      </w:pPr>
      <w:r>
        <w:rPr>
          <w:rFonts w:ascii="仿宋_GB2312" w:hAnsi="仿宋_GB2312" w:cs="仿宋_GB2312" w:eastAsia="仿宋_GB2312"/>
        </w:rPr>
        <w:t>详见附件：报价清单明细表.docx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