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版本号：SXLX25-01-100Z(F)20251211002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2026年度吉祥村、罗家寨村、郝家村城中村市场化保洁服务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SXLX25-01-100Z(F)</w:t>
      </w:r>
      <w:r>
        <w:br/>
      </w:r>
      <w:r>
        <w:br/>
      </w:r>
      <w:r>
        <w:br/>
      </w:r>
    </w:p>
    <w:p>
      <w:pPr>
        <w:pStyle w:val="null3"/>
        <w:jc w:val="center"/>
        <w:outlineLvl w:val="2"/>
      </w:pPr>
      <w:r>
        <w:rPr>
          <w:rFonts w:ascii="仿宋_GB2312" w:hAnsi="仿宋_GB2312" w:cs="仿宋_GB2312" w:eastAsia="仿宋_GB2312"/>
          <w:sz w:val="28"/>
          <w:b/>
        </w:rPr>
        <w:t>小寨路街道办事处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小寨路街道办事处</w:t>
      </w:r>
      <w:r>
        <w:rPr>
          <w:rFonts w:ascii="仿宋_GB2312" w:hAnsi="仿宋_GB2312" w:cs="仿宋_GB2312" w:eastAsia="仿宋_GB2312"/>
        </w:rPr>
        <w:t>委托，拟对</w:t>
      </w:r>
      <w:r>
        <w:rPr>
          <w:rFonts w:ascii="仿宋_GB2312" w:hAnsi="仿宋_GB2312" w:cs="仿宋_GB2312" w:eastAsia="仿宋_GB2312"/>
        </w:rPr>
        <w:t>2026年度吉祥村、罗家寨村、郝家村城中村市场化保洁服务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SXLX25-01-100Z(F)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2026年度吉祥村、罗家寨村、郝家村城中村市场化保洁服务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区域划分的责任范围，对2026年度吉祥村、罗家寨村、郝家村三个城中村道路两侧立面至立面之间区域的主干道、小巷、绿化带地面、小广场地面、环保设施、道路隔车带等区域进行清扫、清理、冲洗、垃圾收集和转运等保洁服务，配合并促进采购人完成提升城中村环境卫生治理目标；各项服务标准符合国家、省、市（行业）强制性标准及采购人要求的合格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采购包1（2026年度吉祥村、罗家寨村、郝家村城中村市场化保洁服务）：属于专门面向小微企业采购。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小寨路街道办事处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西安市雁塔区兴善寺西街42号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029-85363356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029-88489979-8106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采购包1：2,338,700.00元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小寨路街道办事处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小寨路街道办事处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小寨路街道办事处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2026年度吉祥村、罗家寨村、郝家村三个城中村道路两侧立面至立面之间区域的主干道、小巷、绿化带地面、小广场地面、环保设施、道路隔车带等区域进行清扫、清理、冲洗、垃圾收集和转运等保洁服务，配合并促进采购人完成提升城中村环境卫生治理目标；各项服务标准符合国家、省、市（行业）强制性标准及采购人要求的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2,338,700.00</w:t>
      </w:r>
    </w:p>
    <w:p>
      <w:pPr>
        <w:pStyle w:val="null3"/>
      </w:pPr>
      <w:r>
        <w:rPr>
          <w:rFonts w:ascii="仿宋_GB2312" w:hAnsi="仿宋_GB2312" w:cs="仿宋_GB2312" w:eastAsia="仿宋_GB2312"/>
        </w:rPr>
        <w:t>采购包最高限价（元）: 2,338,700.00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2026年度吉祥村、罗家寨村、郝家村城中村市场化保洁服务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标的名称：2026年度吉祥村、罗家寨村、郝家村城中村市场化保洁服务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服务范围：</w:t>
            </w:r>
          </w:p>
          <w:p>
            <w:pPr>
              <w:pStyle w:val="null3"/>
              <w:ind w:firstLine="420"/>
              <w:jc w:val="both"/>
            </w:pPr>
            <w:r>
              <w:rPr>
                <w:rFonts w:ascii="仿宋_GB2312" w:hAnsi="仿宋_GB2312" w:cs="仿宋_GB2312" w:eastAsia="仿宋_GB2312"/>
                <w:sz w:val="21"/>
                <w:color w:val="000000"/>
              </w:rPr>
              <w:t>小寨街道辖区吉祥村（含吉祥小区外围）、罗家寨（含姑娘村）、郝家村（含新村、老村）三个城中村内的指定区域（含主干道、小巷、绿化带地面、小广场地面、环保设施、道路隔车带等），具体如下：</w:t>
            </w:r>
          </w:p>
          <w:tbl>
            <w:tblPr>
              <w:tblBorders>
                <w:top w:val="none" w:color="000000" w:sz="4"/>
                <w:left w:val="none" w:color="000000" w:sz="4"/>
                <w:bottom w:val="none" w:color="000000" w:sz="4"/>
                <w:right w:val="none" w:color="000000" w:sz="4"/>
                <w:insideH w:val="none"/>
                <w:insideV w:val="none"/>
              </w:tblBorders>
            </w:tblPr>
            <w:tblGrid>
              <w:gridCol w:w="711"/>
              <w:gridCol w:w="1131"/>
              <w:gridCol w:w="711"/>
            </w:tblGrid>
            <w:tr>
              <w:tc>
                <w:tcPr>
                  <w:tcW w:type="dxa" w:w="7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城中村名称</w:t>
                  </w:r>
                </w:p>
              </w:tc>
              <w:tc>
                <w:tcPr>
                  <w:tcW w:type="dxa" w:w="11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占地面积</w:t>
                  </w:r>
                  <w:r>
                    <w:rPr>
                      <w:rFonts w:ascii="仿宋_GB2312" w:hAnsi="仿宋_GB2312" w:cs="仿宋_GB2312" w:eastAsia="仿宋_GB2312"/>
                      <w:sz w:val="21"/>
                      <w:color w:val="000000"/>
                    </w:rPr>
                    <w:t>约</w:t>
                  </w:r>
                  <w:r>
                    <w:rPr>
                      <w:rFonts w:ascii="仿宋_GB2312" w:hAnsi="仿宋_GB2312" w:cs="仿宋_GB2312" w:eastAsia="仿宋_GB2312"/>
                      <w:sz w:val="21"/>
                      <w:color w:val="000000"/>
                    </w:rPr>
                    <w:t>（亩</w:t>
                  </w:r>
                  <w:r>
                    <w:rPr>
                      <w:rFonts w:ascii="仿宋_GB2312" w:hAnsi="仿宋_GB2312" w:cs="仿宋_GB2312" w:eastAsia="仿宋_GB2312"/>
                      <w:sz w:val="21"/>
                      <w:color w:val="000000"/>
                    </w:rPr>
                    <w:t>）</w:t>
                  </w:r>
                </w:p>
              </w:tc>
              <w:tc>
                <w:tcPr>
                  <w:tcW w:type="dxa" w:w="7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道路数量（条</w:t>
                  </w:r>
                  <w:r>
                    <w:rPr>
                      <w:rFonts w:ascii="仿宋_GB2312" w:hAnsi="仿宋_GB2312" w:cs="仿宋_GB2312" w:eastAsia="仿宋_GB2312"/>
                      <w:sz w:val="21"/>
                      <w:color w:val="000000"/>
                    </w:rPr>
                    <w:t>）</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吉祥村</w:t>
                  </w:r>
                </w:p>
              </w:tc>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209.14</w:t>
                  </w:r>
                </w:p>
              </w:tc>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16</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罗家寨</w:t>
                  </w:r>
                </w:p>
              </w:tc>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149.87</w:t>
                  </w:r>
                </w:p>
              </w:tc>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28</w:t>
                  </w:r>
                </w:p>
              </w:tc>
            </w:tr>
            <w:tr>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郝家村</w:t>
                  </w:r>
                </w:p>
              </w:tc>
              <w:tc>
                <w:tcPr>
                  <w:tcW w:type="dxa" w:w="11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136.34</w:t>
                  </w:r>
                </w:p>
              </w:tc>
              <w:tc>
                <w:tcPr>
                  <w:tcW w:type="dxa" w:w="7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1"/>
                      <w:color w:val="000000"/>
                    </w:rPr>
                    <w:t>13</w:t>
                  </w:r>
                </w:p>
              </w:tc>
            </w:tr>
          </w:tbl>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服务内容</w:t>
            </w:r>
            <w:r>
              <w:rPr>
                <w:rFonts w:ascii="仿宋_GB2312" w:hAnsi="仿宋_GB2312" w:cs="仿宋_GB2312" w:eastAsia="仿宋_GB2312"/>
                <w:sz w:val="21"/>
                <w:b/>
                <w:color w:val="000000"/>
              </w:rPr>
              <w:t>：</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1）服务范围内道路，含车行道、辅道、人行道、涵洞、小广场的地面清扫保洁；</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2）服务范围内道路两侧绿篱、绿化带垃圾捡拾清掏；</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3）包含干道内果皮箱工具箱擦洗清掏、沿街野广告清理、下水井口油污清理冲洗等内容；</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4）城中村内的垃圾收集点、公共设施等区域的清扫和保洁；</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5）特殊时间段（如大风、雨雪天气）的清扫保洁工作安排；</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6）道路清扫垃圾的收集和转运至固定垃圾点；</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7）迎接重大检查、线路保障等突发事件及重大庆典活动的保障；</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8）协助配合完成垃圾分类实施和宣传；</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9）群众和各类平台投诉处置处理。</w:t>
            </w:r>
          </w:p>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3技术要求：</w:t>
            </w:r>
          </w:p>
          <w:p>
            <w:pPr>
              <w:pStyle w:val="null3"/>
              <w:ind w:firstLine="493"/>
              <w:jc w:val="both"/>
            </w:pPr>
            <w:r>
              <w:rPr>
                <w:rFonts w:ascii="仿宋_GB2312" w:hAnsi="仿宋_GB2312" w:cs="仿宋_GB2312" w:eastAsia="仿宋_GB2312"/>
                <w:sz w:val="21"/>
                <w:color w:val="000000"/>
              </w:rPr>
              <w:t>具有独立开展城市保洁服务的技术和经验能力，要求采取科学、严谨、针对性强的管理方案，按照国家、省、市（行业）标准、规范及西安市地方现行相关规范及行业标准做好实施计划、服务方案、难点、重点把握、组织协调、质量控制等全方面服务。</w:t>
            </w:r>
          </w:p>
          <w:p>
            <w:pPr>
              <w:pStyle w:val="null3"/>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4服务要求：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1）服务方须指派专属人员与采购人联系服务事宜，服务</w:t>
            </w:r>
            <w:r>
              <w:rPr>
                <w:rFonts w:ascii="仿宋_GB2312" w:hAnsi="仿宋_GB2312" w:cs="仿宋_GB2312" w:eastAsia="仿宋_GB2312"/>
                <w:sz w:val="21"/>
                <w:color w:val="000000"/>
              </w:rPr>
              <w:t>投标</w:t>
            </w:r>
            <w:r>
              <w:rPr>
                <w:rFonts w:ascii="仿宋_GB2312" w:hAnsi="仿宋_GB2312" w:cs="仿宋_GB2312" w:eastAsia="仿宋_GB2312"/>
                <w:sz w:val="21"/>
                <w:color w:val="000000"/>
              </w:rPr>
              <w:t>时间应根据采购人实际安排随时调整。</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2）服务方需根据服务实际情况编制服务方案、管理方案、服务计划、突发应急、纠纷处理、投诉处理等方案措施。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w:t>
            </w:r>
            <w:r>
              <w:rPr>
                <w:rFonts w:ascii="仿宋_GB2312" w:hAnsi="仿宋_GB2312" w:cs="仿宋_GB2312" w:eastAsia="仿宋_GB2312"/>
                <w:sz w:val="21"/>
                <w:color w:val="000000"/>
              </w:rPr>
              <w:t>投标文件</w:t>
            </w:r>
            <w:r>
              <w:rPr>
                <w:rFonts w:ascii="仿宋_GB2312" w:hAnsi="仿宋_GB2312" w:cs="仿宋_GB2312" w:eastAsia="仿宋_GB2312"/>
                <w:sz w:val="21"/>
                <w:color w:val="000000"/>
              </w:rPr>
              <w:t>中指定的服务队伍。</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人工作业包含道路（人行天桥）清扫、绿化带（绿化广场）清掏捡拾、果皮箱（垃圾桶）及灭烟柱清掏擦洗、野广告清理、道班房、保洁工具箱及休闲座椅等其他城市家具清洁；道路扫雪除冰；道路扬尘、极端天气等环境卫生应急整治。</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）机械作业包含机扫、洗扫、吸尘和冲洒水等作业；道路保洁垃圾收运（含配合政府开展垃圾分类）工作；道路扫雪除冰；道路扬尘、极端天气等环境卫生应急整治。</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城市家具管控维护，道班房、工具箱、护栏、通讯格栅等城市管理方面，属于环境卫生管理责任范围内城市家具管控，除完成日常擦洗保洁外，定期进行清洗和管护巡查，如发现工具箱、护栏、通讯格栅等外观破损或门栅丢失，中标服务商应按要求及时修复完整，恢复其正常功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）重大节假日、大型活动及特殊天气应急保障，按照市城管局《西安市环卫保洁精细化作业指引》要求，服务方应组建不少于</w:t>
            </w:r>
            <w:r>
              <w:rPr>
                <w:rFonts w:ascii="仿宋_GB2312" w:hAnsi="仿宋_GB2312" w:cs="仿宋_GB2312" w:eastAsia="仿宋_GB2312"/>
                <w:sz w:val="21"/>
                <w:color w:val="000000"/>
              </w:rPr>
              <w:t>10%的保洁应急队伍（含轮休人员），保持应急车辆及设备状况良好，以保证快速解决辖区范围内突发的市容环境卫生事件及保洁人员轮休。</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服务过程中，严格遵守各种管理规定及规章制度，做到奉公守法、诚实守信、廉洁自律、安全文明；服务过程中如发生工伤及意外事故由服务单位负责</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）严格按照国家、陕西省、西安市有关规定及采购人要求进行服务，不得随意更改或者变换服务内容，每项服务内容在实施前应事先取得采购人的落实后方可实施。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）服务方派遣的服务人员对于在工作中获悉的一切政府工作的信息应严格保守秘密，不得泄露；对于违反者，给采购人单位造成不良社会影响的，或给采购人单位造成损失的，由服务方承担赔偿责任。</w:t>
            </w:r>
          </w:p>
          <w:p>
            <w:pPr>
              <w:pStyle w:val="null3"/>
              <w:ind w:firstLine="211"/>
              <w:jc w:val="left"/>
            </w:pPr>
            <w:r>
              <w:rPr>
                <w:rFonts w:ascii="仿宋_GB2312" w:hAnsi="仿宋_GB2312" w:cs="仿宋_GB2312" w:eastAsia="仿宋_GB2312"/>
                <w:sz w:val="21"/>
                <w:b/>
                <w:color w:val="000000"/>
              </w:rPr>
              <w:t>1.5服务标准：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1）各项服务符合国家、省、市（行业）强制性标准及采购人要求的合格标准。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按项目服务要求及特性，自行组织实施与管理，建立以负责人为核心的履行合同所必需人员团队（包含项目经理、巡查人员、文员、保洁员等），相关人员经过严格培训，具有相关工作经验，能够胜任项目工作，保证项目顺利实施。 （2）本项目要求配备保洁员参照《西安市人民政府办公厅关于印发西安市城市道路“以克论净深度保洁”作业标准（试行）的通知》和《西安市城市管理和综合执法局关于印发西安市环卫保洁精细化作业指引的通知》执行，服务方需优先考虑接收原保洁人员；保洁人员可遵循自愿同意、依法依规原则决定自身去留；移交完成后，新产生的人员管理和责任问题由服务方负责；如保洁人员不符合服务方企业相关管理规定，可依据《中华人民共和国劳动法》做好辞退工作，切实维护保洁人员权益确保移交平稳。 （3）服务方应按照《中华人民共和国劳动合同法》和中华人民共和国社会保险法》 等规定与道路清扫保洁员签订劳动合同、办理雇主责任险和社会保险，并按时足额缴纳社会保险费。 （4）服务方应按相关要求，按时全额发放保洁人员工资、福利；保洁人员工资参照 《西安市人民政府办公厅关于印发进一步加强市容环卫行业管理工作实施意见的通知》执行。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（1）服务方根据项目采购项目特性及要求，自行配置投入履行合同所必需的各类设施设备（不限于专业设备、辅助设备、工具、软件等）及场所，保证项目顺利实施。 （2）采购人按照登记台账向服务方移交道班房、工具箱等环卫城市家具；所有环卫城市家具移交后，由服务方代管和使用，日常使用及维修费用由服务方承担。 （3）采购人向服务方移交所属街办水车、电动三轮保洁车、机扫车、水车、小型垃圾转运车等作业车辆服务方按规范实施机械化作业。 （4）服务方承担与作业车辆相关的人员工资、维修、油料、保险及车辆购置/租赁等运行经费；在使用期间保证车辆运维安全，全权承担车辆交通事故责任；如发生拖欠工资、车辆损坏、第三方重大赔偿等问题造成经济损失的，由服务方全权承担。 （5）服务方应当具备一定的应急作业设备(非采购人移交的作业设备)调配能力，以在出现紧急突发状况（原有设备损坏、维修或临时增加清扫任务时等）下能有效保障本项目顺利实施。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本项目标的所属行业：其他未列明行业（从业人员300人以下的为中小微型企业。其中，从业人员100人及以上的为中型企业；从业人员10人及以上的为小型企业；从业人员10人以下的为微型企业）。 （2）投标人应具有2022年1月1日起至今类似项目业绩经验。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1年(2026年1月1日—2026年12月31日)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单位根据有关规范、规定及项目要求对服务进行检查或考核，服务方需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月度服务完成后，采购方根据服务方的上月度考核奖惩情况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月度服务完成后，采购方根据服务方上个月的月度考核奖惩情况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服务期限满后，采购方根据服务方最后一个月的月度考核奖惩情况</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的报价是投标人响应招标项目要求的全部工作内容的价格体现，包括投标人完成本项目所需的直接费、间接费、利润、税金及其他相关的一切费用；包括但不限于：服务费、人工费、设备使用费、巡视费、管理费、验收费、采购代理服务费、利润、税金及不可预见费等；投标总价中不得包含招标文件要求以外的内容，否则，在评标时不予核减。在提供服务的过程中出现的任何遗漏，均由中标人免费提供，采购人将不再支付任何费用。 二、投标有效期 1.出现特殊情况需要延长投标有效期的，采购代理机构或采购人可于投标有效期满之前，以书面形式通知所有投标人延长投标有效期。投标人应予书面答复，同意延长的，但不得要求或被允许修改其投标文件；投标人拒绝延长的，其投标文件失效。 2.在投标有效期内，投标人撤销投标文件的，应承担投标文件和法律规定的责任。 3.中标人的投标有效期自动延长至合同终止为止。 三、合格投标人少于3家的处理 1.评审过程中，若出现合格投标人只有2家时，采购人经同级财政部门同意后，可以按《政府采购非招标采购方式管理办法》（财政部第74号令）的规定与该2家投标人进行竞争性谈判采购。只有1家时，采购人应依法重新组织采购活动。 2.评审过程中，除符合第1条条款规定情形外，若出现合格投标人少于3家时，采购人应依法重新组织采购活动。 四、分公司独立参与投标时，不能使用总公司的资质或业绩；总公司授权分公司或分支机构参与投标的，可以使用总公司的资质或业绩。总公司单独参与投标时，可以使用分公司的业绩，在相关资质证书的管理要求和适用范围内可以使用分公司资质。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二百四十三条【诬告陷害罪】捏造事实诬告陷害他人，意图使他人受到刑事追究，情节严重的，处三年以下有期徒刑、拘役或者管制；造成严重后果的，处三年以上十年以下有期徒刑。 （2）《中华人民共和国刑法》第二百四十六条【侮辱罪、诽谤罪】以暴力或者其他方法公然侮辱他人或者捏造事实诽谤他人，情节严重的，处三年以下有期徒刑、拘役、管制或者剥夺政治权利。 七、参与本项目的投标人应通过陕西省政府采购综合管理平台的项目电子化交易系统在线实施报名、获取采购文件、响应、报价等操作，投标人无需现场提供纸质响应文件。但在中标（成交）后，中标（成交）供应商在领取中标（成交）通知书时需提供纸质响应文件正本一套、副本一套用于备案，纸质投标文件应通过专用制作软件直接打印，确保与项目电子化交易系统中的电子投标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投标函》完成承诺并进行电子签章,并按采购文件附件“资格证明文件”中的相关要求提供一套完整的资格证明材料。②控股管理关系及重大违法记录等将结合投标截止日通过“信用中国”“中国执行信息公开网”“中国政府采购网”等网站现场查询的结果进行综合判定；③本项目资格审查小组由1名采购人代表和2名采购代理机构工作人员组成，资格审查小组依法对供应商的资格进行审查。</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提供投标人2023或2024年度经审计的财务会计报告或其在投标文件提交截止时间前3个月内其基本户银行出具的资信证明（附基本存款账户信息）。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根据“资格证明文件”中提供的格式和说明，提供相关证明。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需在项目电子化交易系统中按要求填写《投标函》完成承诺并进行电子签章（具体将结合投标截止日现场查询结果综合判定）。</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本项目专门面向小微企业采购，承接服务的投标人应为符合政策要求的小微企业或残疾人福利性单位或监狱企业。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（1）不同投标人的投标文件由同一单位或者个人编制； （2）不同投标人委托同一单位或者个人办理投标事宜； （3）不同投标人的投标文件载明的项目管理成员或者联系人员为同一人； （4）不同投标人的投标文件异常一致或者投标报价呈规律性差异。</w:t>
            </w:r>
          </w:p>
        </w:tc>
        <w:tc>
          <w:tcPr>
            <w:tcW w:type="dxa" w:w="1661"/>
          </w:tcPr>
          <w:p>
            <w:pPr>
              <w:pStyle w:val="null3"/>
            </w:pPr>
            <w:r>
              <w:rPr>
                <w:rFonts w:ascii="仿宋_GB2312" w:hAnsi="仿宋_GB2312" w:cs="仿宋_GB2312" w:eastAsia="仿宋_GB2312"/>
              </w:rPr>
              <w:t>投标函 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投标文件内容齐全、无遗漏，符合招标文件中的实质性条款要求，且未含有采购人不能接受的附加条件。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服务期限、服务地点、质量标准 。</w:t>
            </w:r>
          </w:p>
        </w:tc>
        <w:tc>
          <w:tcPr>
            <w:tcW w:type="dxa" w:w="3322"/>
          </w:tcPr>
          <w:p>
            <w:pPr>
              <w:pStyle w:val="null3"/>
            </w:pPr>
            <w:r>
              <w:rPr>
                <w:rFonts w:ascii="仿宋_GB2312" w:hAnsi="仿宋_GB2312" w:cs="仿宋_GB2312" w:eastAsia="仿宋_GB2312"/>
              </w:rPr>
              <w:t>符合招标文件中的规定。</w:t>
            </w:r>
          </w:p>
        </w:tc>
        <w:tc>
          <w:tcPr>
            <w:tcW w:type="dxa" w:w="1661"/>
          </w:tcPr>
          <w:p>
            <w:pPr>
              <w:pStyle w:val="null3"/>
            </w:pPr>
            <w:r>
              <w:rPr>
                <w:rFonts w:ascii="仿宋_GB2312" w:hAnsi="仿宋_GB2312" w:cs="仿宋_GB2312" w:eastAsia="仿宋_GB2312"/>
              </w:rPr>
              <w:t>商务、技术文件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 。</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环卫保洁实施方案</w:t>
            </w:r>
          </w:p>
        </w:tc>
        <w:tc>
          <w:tcPr>
            <w:tcW w:type="dxa" w:w="2492"/>
          </w:tcPr>
          <w:p>
            <w:pPr>
              <w:pStyle w:val="null3"/>
            </w:pPr>
            <w:r>
              <w:rPr>
                <w:rFonts w:ascii="仿宋_GB2312" w:hAnsi="仿宋_GB2312" w:cs="仿宋_GB2312" w:eastAsia="仿宋_GB2312"/>
              </w:rPr>
              <w:t>根据服务要求对①人工清扫保洁、➁机械作业保洁、③绿篱、绿化带垃圾捡拾清掏、④野广告清理、⑤环卫设施维护的响应程度。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垃圾分类及收集</w:t>
            </w:r>
          </w:p>
        </w:tc>
        <w:tc>
          <w:tcPr>
            <w:tcW w:type="dxa" w:w="2492"/>
          </w:tcPr>
          <w:p>
            <w:pPr>
              <w:pStyle w:val="null3"/>
            </w:pPr>
            <w:r>
              <w:rPr>
                <w:rFonts w:ascii="仿宋_GB2312" w:hAnsi="仿宋_GB2312" w:cs="仿宋_GB2312" w:eastAsia="仿宋_GB2312"/>
              </w:rPr>
              <w:t>根据垃圾分类及收集方案的①垃圾分类实施和➁垃圾收集及转运的响应程度。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安全文明作业</w:t>
            </w:r>
          </w:p>
        </w:tc>
        <w:tc>
          <w:tcPr>
            <w:tcW w:type="dxa" w:w="2492"/>
          </w:tcPr>
          <w:p>
            <w:pPr>
              <w:pStyle w:val="null3"/>
            </w:pPr>
            <w:r>
              <w:rPr>
                <w:rFonts w:ascii="仿宋_GB2312" w:hAnsi="仿宋_GB2312" w:cs="仿宋_GB2312" w:eastAsia="仿宋_GB2312"/>
              </w:rPr>
              <w:t>根据安全文明作业方案的①安全作业和➁文明作业方案措施的响应程度。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紧急、应急措施</w:t>
            </w:r>
          </w:p>
        </w:tc>
        <w:tc>
          <w:tcPr>
            <w:tcW w:type="dxa" w:w="2492"/>
          </w:tcPr>
          <w:p>
            <w:pPr>
              <w:pStyle w:val="null3"/>
            </w:pPr>
            <w:r>
              <w:rPr>
                <w:rFonts w:ascii="仿宋_GB2312" w:hAnsi="仿宋_GB2312" w:cs="仿宋_GB2312" w:eastAsia="仿宋_GB2312"/>
              </w:rPr>
              <w:t>根据紧急、应急措施方案的①雨雪等特殊天气应急、➁重大检查、活动应急、③环卫紧急事件应急、④应急作业设备配备及协调措施的响应程度。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根据拟投入人员管理机构及制度的①岗位职责及分工、➁到岗控制措施、③管理制度、④培训、⑤作业人员考核、⑥工资、社保、福利保障等方案的响应程度。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根据对服务质量的①标准制定及执行、➁自检方案、③控制措施、④整改措施、⑤群众和各类平台投诉处置的响应程度。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①供应商承诺成交后按要求接受并配合采购人进行各种考核，并按照月度考核奖惩情况实施支付的得3分，无承诺或承诺不全面的不得分。 ➁供应商承诺成交后优先考虑接收原保洁人员继续服务且切实维护保洁人员权益的得3分，无承诺或承诺不全面的不得分。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供应商具有2022年1月1日起至今类似项目业绩，业绩以合同扫描（复印）件为依据；每提供1个业绩得2分，最多得10分。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投标人的价格分，按照财政部财库〔2014〕214号文件第二十四条和 财库〔2020〕46号文件的规定，采用低价优先法计算，以本次满足招标文件要求的最低投标报价为评审基准价，其投标报价为满分。投标人的投标报价得分，统一按照下列公式计算：投标报价得分=（评标基准价／投标报价）×12</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