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55894">
      <w:pPr>
        <w:keepNext/>
        <w:spacing w:line="720" w:lineRule="exact"/>
        <w:jc w:val="center"/>
        <w:outlineLvl w:val="1"/>
        <w:rPr>
          <w:rFonts w:hint="eastAsia" w:ascii="黑体" w:hAnsi="黑体" w:eastAsia="黑体" w:cs="Times New Roman"/>
          <w:b/>
          <w:sz w:val="32"/>
          <w:szCs w:val="32"/>
          <w:lang w:val="zh-CN"/>
        </w:rPr>
      </w:pPr>
      <w:r>
        <w:rPr>
          <w:rFonts w:hint="eastAsia" w:ascii="黑体" w:hAnsi="黑体" w:eastAsia="黑体" w:cs="Times New Roman"/>
          <w:b/>
          <w:sz w:val="32"/>
          <w:szCs w:val="32"/>
          <w:lang w:val="zh-CN"/>
        </w:rPr>
        <w:t>合同草案条款</w:t>
      </w:r>
    </w:p>
    <w:p w14:paraId="7DF69CF5">
      <w:pPr>
        <w:adjustRightInd w:val="0"/>
        <w:snapToGrid w:val="0"/>
        <w:spacing w:line="360" w:lineRule="auto"/>
        <w:ind w:left="105" w:leftChars="50" w:firstLine="402" w:firstLineChars="200"/>
        <w:rPr>
          <w:rFonts w:hint="eastAsia" w:ascii="宋体" w:hAnsi="宋体" w:eastAsia="宋体" w:cs="Times New Roman"/>
          <w:sz w:val="20"/>
          <w:szCs w:val="20"/>
        </w:rPr>
      </w:pPr>
      <w:r>
        <w:rPr>
          <w:rFonts w:ascii="宋体" w:hAnsi="宋体" w:eastAsia="宋体" w:cs="Times New Roman"/>
          <w:b/>
          <w:sz w:val="20"/>
          <w:szCs w:val="20"/>
        </w:rPr>
        <w:t>甲方：（</w:t>
      </w:r>
      <w:r>
        <w:rPr>
          <w:rFonts w:ascii="宋体" w:hAnsi="宋体" w:eastAsia="宋体" w:cs="Times New Roman"/>
          <w:sz w:val="20"/>
          <w:szCs w:val="20"/>
        </w:rPr>
        <w:t>前款所称采购人）         住所：</w:t>
      </w:r>
    </w:p>
    <w:p w14:paraId="175A6930">
      <w:pPr>
        <w:adjustRightInd w:val="0"/>
        <w:snapToGrid w:val="0"/>
        <w:spacing w:line="360" w:lineRule="auto"/>
        <w:ind w:left="105" w:leftChars="50" w:firstLine="402" w:firstLineChars="200"/>
        <w:rPr>
          <w:rFonts w:hint="eastAsia" w:ascii="宋体" w:hAnsi="宋体" w:eastAsia="宋体" w:cs="Times New Roman"/>
          <w:sz w:val="20"/>
          <w:szCs w:val="20"/>
        </w:rPr>
      </w:pPr>
      <w:r>
        <w:rPr>
          <w:rFonts w:ascii="宋体" w:hAnsi="宋体" w:eastAsia="宋体" w:cs="Times New Roman"/>
          <w:b/>
          <w:sz w:val="20"/>
          <w:szCs w:val="20"/>
        </w:rPr>
        <w:t>乙方：</w:t>
      </w:r>
      <w:r>
        <w:rPr>
          <w:rFonts w:ascii="宋体" w:hAnsi="宋体" w:eastAsia="宋体" w:cs="Times New Roman"/>
          <w:sz w:val="20"/>
          <w:szCs w:val="20"/>
        </w:rPr>
        <w:t>（前款所称成交供应商）     住所：</w:t>
      </w:r>
    </w:p>
    <w:p w14:paraId="6CB693D3">
      <w:pPr>
        <w:adjustRightInd w:val="0"/>
        <w:snapToGrid w:val="0"/>
        <w:spacing w:line="360" w:lineRule="auto"/>
        <w:ind w:firstLine="402" w:firstLineChars="200"/>
        <w:rPr>
          <w:rFonts w:hint="eastAsia" w:asciiTheme="minorEastAsia" w:hAnsiTheme="minorEastAsia" w:cstheme="minorEastAsia"/>
          <w:b/>
          <w:sz w:val="20"/>
          <w:szCs w:val="20"/>
        </w:rPr>
      </w:pPr>
      <w:bookmarkStart w:id="0" w:name="_Toc19515384"/>
      <w:r>
        <w:rPr>
          <w:rFonts w:hint="eastAsia" w:asciiTheme="minorEastAsia" w:hAnsiTheme="minorEastAsia" w:cstheme="minorEastAsia"/>
          <w:b/>
          <w:sz w:val="20"/>
          <w:szCs w:val="20"/>
        </w:rPr>
        <w:t>一、合同内容（标的、数量、质量等）:</w:t>
      </w:r>
    </w:p>
    <w:p w14:paraId="3351FFF0">
      <w:pPr>
        <w:adjustRightInd w:val="0"/>
        <w:snapToGrid w:val="0"/>
        <w:spacing w:line="360" w:lineRule="auto"/>
        <w:ind w:firstLine="402" w:firstLineChars="200"/>
        <w:rPr>
          <w:rFonts w:hint="eastAsia" w:asciiTheme="minorEastAsia" w:hAnsiTheme="minorEastAsia" w:cstheme="minorEastAsia"/>
          <w:b/>
          <w:sz w:val="20"/>
          <w:szCs w:val="20"/>
        </w:rPr>
      </w:pPr>
      <w:r>
        <w:rPr>
          <w:rFonts w:hint="eastAsia" w:asciiTheme="minorEastAsia" w:hAnsiTheme="minorEastAsia" w:cstheme="minorEastAsia"/>
          <w:b/>
          <w:sz w:val="20"/>
          <w:szCs w:val="20"/>
        </w:rPr>
        <w:t>二、合同价款</w:t>
      </w:r>
    </w:p>
    <w:p w14:paraId="6BD45E72">
      <w:pPr>
        <w:adjustRightInd w:val="0"/>
        <w:snapToGrid w:val="0"/>
        <w:spacing w:line="360" w:lineRule="auto"/>
        <w:ind w:firstLine="400" w:firstLineChars="200"/>
        <w:rPr>
          <w:rFonts w:hint="eastAsia" w:asciiTheme="minorEastAsia" w:hAnsiTheme="minorEastAsia" w:cstheme="minorEastAsia"/>
          <w:sz w:val="20"/>
          <w:szCs w:val="20"/>
          <w:u w:val="single"/>
        </w:rPr>
      </w:pPr>
      <w:r>
        <w:rPr>
          <w:rFonts w:hint="eastAsia" w:asciiTheme="minorEastAsia" w:hAnsiTheme="minorEastAsia" w:cstheme="minorEastAsia"/>
          <w:sz w:val="20"/>
          <w:szCs w:val="20"/>
        </w:rPr>
        <w:t>1、合同下浮率：</w:t>
      </w:r>
      <w:r>
        <w:rPr>
          <w:rFonts w:hint="eastAsia" w:asciiTheme="minorEastAsia" w:hAnsiTheme="minorEastAsia" w:cstheme="minorEastAsia"/>
          <w:sz w:val="20"/>
          <w:szCs w:val="20"/>
          <w:u w:val="single"/>
        </w:rPr>
        <w:t xml:space="preserve">     </w:t>
      </w:r>
      <w:r>
        <w:rPr>
          <w:rFonts w:hint="eastAsia" w:asciiTheme="minorEastAsia" w:hAnsiTheme="minorEastAsia" w:cstheme="minorEastAsia"/>
          <w:sz w:val="20"/>
          <w:szCs w:val="20"/>
        </w:rPr>
        <w:t>（合同下浮率即成交下浮率）</w:t>
      </w:r>
    </w:p>
    <w:p w14:paraId="4D382776">
      <w:pPr>
        <w:adjustRightInd w:val="0"/>
        <w:snapToGrid w:val="0"/>
        <w:spacing w:line="360" w:lineRule="auto"/>
        <w:ind w:firstLine="400" w:firstLineChars="200"/>
        <w:rPr>
          <w:rFonts w:hint="eastAsia" w:asciiTheme="minorEastAsia" w:hAnsiTheme="minorEastAsia" w:cstheme="minorEastAsia"/>
          <w:color w:val="FF0000"/>
          <w:sz w:val="20"/>
          <w:szCs w:val="20"/>
        </w:rPr>
      </w:pPr>
      <w:r>
        <w:rPr>
          <w:rFonts w:hint="eastAsia" w:asciiTheme="minorEastAsia" w:hAnsiTheme="minorEastAsia" w:cstheme="minorEastAsia"/>
          <w:sz w:val="20"/>
          <w:szCs w:val="20"/>
        </w:rPr>
        <w:t>2、合同下浮率即成交下浮率，为一次性报价，不受市场价变化或实际工作量变化的影响。合同价格为含税价，乙方提供产品、服务所发生的一切税（包括增值税）费等都已包含于合同价款中。</w:t>
      </w:r>
    </w:p>
    <w:p w14:paraId="7E4EB101">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3、合同下浮率一次包死，不受市场价变化的影响。</w:t>
      </w:r>
    </w:p>
    <w:p w14:paraId="2BE97D15">
      <w:pPr>
        <w:adjustRightInd w:val="0"/>
        <w:snapToGrid w:val="0"/>
        <w:spacing w:line="360" w:lineRule="auto"/>
        <w:ind w:firstLine="402" w:firstLineChars="200"/>
        <w:rPr>
          <w:rFonts w:hint="eastAsia" w:asciiTheme="minorEastAsia" w:hAnsiTheme="minorEastAsia" w:cstheme="minorEastAsia"/>
          <w:b/>
          <w:sz w:val="20"/>
          <w:szCs w:val="20"/>
        </w:rPr>
      </w:pPr>
      <w:r>
        <w:rPr>
          <w:rFonts w:hint="eastAsia" w:asciiTheme="minorEastAsia" w:hAnsiTheme="minorEastAsia" w:cstheme="minorEastAsia"/>
          <w:b/>
          <w:sz w:val="20"/>
          <w:szCs w:val="20"/>
        </w:rPr>
        <w:t>三、合同结算</w:t>
      </w:r>
    </w:p>
    <w:p w14:paraId="37706313">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1、结算方式：以当月产品最高限价*（1-下浮率）*实际供应量进行据实结算。</w:t>
      </w:r>
    </w:p>
    <w:p w14:paraId="6D959E93">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2、产品最高限价：</w:t>
      </w:r>
    </w:p>
    <w:p w14:paraId="1FF162F8">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根据西安市农业农村局官网（http://nyncj.xa.gov.cn）发布的北城批发市场、摩尔农产品交易中心、朱雀市场和欣桥批发市场的四个市场产品当月第一周的价格均值作为本月产品最高限价，若为西安市农业农村局官网没有公布价格的品种，按招标人同类市场调研价格作为本月产品最高限价。</w:t>
      </w:r>
    </w:p>
    <w:p w14:paraId="0A6E776C">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3、付款方式：</w:t>
      </w:r>
    </w:p>
    <w:p w14:paraId="4AE82DF8">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3-1、按季度付款，每季度结束后的下一个月15日前支付。第四季度于 12月 15日前结清 10月、11月款项，12月货款于下一年结算。乙方必须开具全额增值税发票给甲方（附详细供货清单）。</w:t>
      </w:r>
    </w:p>
    <w:p w14:paraId="483864BA">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3-2、乙方应按照甲方要求的时间和地点配送，经甲方验收合格后，乙方提供所供货物清单，甲方对所供货物的价格进行核实，经核实无误后在供货单上签字确认。结算时按甲方签字确认的供货单据实结算。</w:t>
      </w:r>
    </w:p>
    <w:p w14:paraId="367D010C">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3-3、甲方在验收合格后，根据供货单据实结算，若遇年终预决算等特殊原因，延期结算。</w:t>
      </w:r>
    </w:p>
    <w:p w14:paraId="749DFC27">
      <w:pPr>
        <w:adjustRightInd w:val="0"/>
        <w:snapToGrid w:val="0"/>
        <w:spacing w:line="360" w:lineRule="auto"/>
        <w:ind w:firstLine="402" w:firstLineChars="200"/>
        <w:rPr>
          <w:rFonts w:hint="eastAsia" w:asciiTheme="minorEastAsia" w:hAnsiTheme="minorEastAsia" w:cstheme="minorEastAsia"/>
          <w:b/>
          <w:sz w:val="20"/>
          <w:szCs w:val="20"/>
        </w:rPr>
      </w:pPr>
      <w:r>
        <w:rPr>
          <w:rFonts w:hint="eastAsia" w:asciiTheme="minorEastAsia" w:hAnsiTheme="minorEastAsia" w:cstheme="minorEastAsia"/>
          <w:b/>
          <w:sz w:val="20"/>
          <w:szCs w:val="20"/>
        </w:rPr>
        <w:t>四、供货期限、地点及方式</w:t>
      </w:r>
    </w:p>
    <w:p w14:paraId="6BDF595A">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1、供货期限：自合同签订起一年，按需供货。</w:t>
      </w:r>
    </w:p>
    <w:p w14:paraId="7273D531">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2、配送响应时间：接每日菜单后第二天上午8:00前送到。</w:t>
      </w:r>
    </w:p>
    <w:p w14:paraId="60C6B09C">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3、送货地址：甲方指定地址。</w:t>
      </w:r>
    </w:p>
    <w:p w14:paraId="41723B98">
      <w:pPr>
        <w:adjustRightInd w:val="0"/>
        <w:snapToGrid w:val="0"/>
        <w:spacing w:line="360" w:lineRule="auto"/>
        <w:ind w:firstLine="402" w:firstLineChars="200"/>
        <w:rPr>
          <w:rFonts w:hint="eastAsia" w:asciiTheme="minorEastAsia" w:hAnsiTheme="minorEastAsia" w:cstheme="minorEastAsia"/>
          <w:b/>
          <w:bCs/>
          <w:sz w:val="20"/>
          <w:szCs w:val="20"/>
        </w:rPr>
      </w:pPr>
      <w:r>
        <w:rPr>
          <w:rFonts w:hint="eastAsia" w:asciiTheme="minorEastAsia" w:hAnsiTheme="minorEastAsia" w:cstheme="minorEastAsia"/>
          <w:b/>
          <w:bCs/>
          <w:sz w:val="20"/>
          <w:szCs w:val="20"/>
        </w:rPr>
        <w:t>五、货物质量保证</w:t>
      </w:r>
    </w:p>
    <w:p w14:paraId="566517C6">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1、符合《产品质量法》和《食品安全法》等相关法律法规规定的质量标准。</w:t>
      </w:r>
    </w:p>
    <w:p w14:paraId="7F4DF3CC">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2、乙方提供的产品及材料必须保证质量可靠，进货渠道正常，应全面满足招标文件的要求，招标文件未明确要求的内容，乙方须以甲方的补充要求为准，如发生质量问题由乙方承担全部责任。</w:t>
      </w:r>
    </w:p>
    <w:p w14:paraId="6C8ED663">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3、乙方应保证所有产品的完好无损包括配套包装，如有缺漏、损坏，由乙方负责调换、补齐或赔偿。</w:t>
      </w:r>
    </w:p>
    <w:p w14:paraId="3EC388C7">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4、服务期内服务内容等指标与合同有任何一项不符，甲方应尽快以书面形式向乙方提出索赔。同时应向政府采购管理部门报告。</w:t>
      </w:r>
    </w:p>
    <w:p w14:paraId="6E631B06">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5、乙方在收到采购人的通知后，应及时免费对服务内容及使用效果的不足或偏差进行补正。</w:t>
      </w:r>
    </w:p>
    <w:p w14:paraId="6B10A220">
      <w:pPr>
        <w:adjustRightInd w:val="0"/>
        <w:snapToGrid w:val="0"/>
        <w:spacing w:line="360" w:lineRule="auto"/>
        <w:ind w:firstLine="402" w:firstLineChars="200"/>
        <w:rPr>
          <w:rFonts w:hint="eastAsia" w:asciiTheme="minorEastAsia" w:hAnsiTheme="minorEastAsia" w:cstheme="minorEastAsia"/>
          <w:b/>
          <w:bCs/>
          <w:sz w:val="20"/>
          <w:szCs w:val="20"/>
        </w:rPr>
      </w:pPr>
      <w:r>
        <w:rPr>
          <w:rFonts w:hint="eastAsia" w:asciiTheme="minorEastAsia" w:hAnsiTheme="minorEastAsia" w:cstheme="minorEastAsia"/>
          <w:b/>
          <w:bCs/>
          <w:sz w:val="20"/>
          <w:szCs w:val="20"/>
        </w:rPr>
        <w:t>六、运输</w:t>
      </w:r>
    </w:p>
    <w:p w14:paraId="782883A8">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1、乙方根据产品特性，自行选择运输及包装方式，承担一切运输费用，包括从生产厂到甲方指定交货地点所需的装卸、运输（含保险费）及其他一切费用。</w:t>
      </w:r>
    </w:p>
    <w:p w14:paraId="454FC2BC">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2、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14:paraId="1FEE8622">
      <w:pPr>
        <w:adjustRightInd w:val="0"/>
        <w:snapToGrid w:val="0"/>
        <w:spacing w:line="360" w:lineRule="auto"/>
        <w:ind w:firstLine="402" w:firstLineChars="200"/>
        <w:rPr>
          <w:rFonts w:hint="eastAsia" w:asciiTheme="minorEastAsia" w:hAnsiTheme="minorEastAsia" w:cstheme="minorEastAsia"/>
          <w:b/>
          <w:sz w:val="20"/>
          <w:szCs w:val="20"/>
        </w:rPr>
      </w:pPr>
      <w:r>
        <w:rPr>
          <w:rFonts w:hint="eastAsia" w:asciiTheme="minorEastAsia" w:hAnsiTheme="minorEastAsia" w:cstheme="minorEastAsia"/>
          <w:b/>
          <w:sz w:val="20"/>
          <w:szCs w:val="20"/>
        </w:rPr>
        <w:t>七、验收</w:t>
      </w:r>
    </w:p>
    <w:p w14:paraId="1C9C860B">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1、验收依据：</w:t>
      </w:r>
    </w:p>
    <w:p w14:paraId="3BCF169C">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1-1、合同文本、合同附件、磋商文件、磋商响应文件。</w:t>
      </w:r>
    </w:p>
    <w:p w14:paraId="12A32482">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1-2、国内相应的标准、规范。</w:t>
      </w:r>
    </w:p>
    <w:p w14:paraId="17BC4DCB">
      <w:pPr>
        <w:adjustRightInd w:val="0"/>
        <w:snapToGrid w:val="0"/>
        <w:spacing w:line="360" w:lineRule="auto"/>
        <w:ind w:firstLine="400" w:firstLineChars="200"/>
        <w:rPr>
          <w:rFonts w:hint="eastAsia" w:asciiTheme="minorEastAsia" w:hAnsiTheme="minorEastAsia" w:cstheme="minorEastAsia"/>
          <w:bCs/>
          <w:sz w:val="20"/>
          <w:szCs w:val="20"/>
        </w:rPr>
      </w:pPr>
      <w:bookmarkStart w:id="1" w:name="_Toc19515393"/>
      <w:r>
        <w:rPr>
          <w:rFonts w:hint="eastAsia" w:asciiTheme="minorEastAsia" w:hAnsiTheme="minorEastAsia" w:cstheme="minorEastAsia"/>
          <w:bCs/>
          <w:sz w:val="20"/>
          <w:szCs w:val="20"/>
        </w:rPr>
        <w:t>2、验收方式及标准</w:t>
      </w:r>
    </w:p>
    <w:p w14:paraId="2E0131EC">
      <w:pPr>
        <w:adjustRightInd w:val="0"/>
        <w:snapToGrid w:val="0"/>
        <w:spacing w:line="360" w:lineRule="auto"/>
        <w:ind w:firstLine="400" w:firstLineChars="200"/>
        <w:rPr>
          <w:rFonts w:hint="eastAsia" w:asciiTheme="minorEastAsia" w:hAnsiTheme="minorEastAsia" w:cstheme="minorEastAsia"/>
          <w:bCs/>
          <w:sz w:val="20"/>
          <w:szCs w:val="20"/>
        </w:rPr>
      </w:pPr>
      <w:r>
        <w:rPr>
          <w:rFonts w:hint="eastAsia" w:asciiTheme="minorEastAsia" w:hAnsiTheme="minorEastAsia" w:cstheme="minorEastAsia"/>
          <w:bCs/>
          <w:sz w:val="20"/>
          <w:szCs w:val="20"/>
        </w:rPr>
        <w:t>2-1、验收方式</w:t>
      </w:r>
    </w:p>
    <w:p w14:paraId="7EE50804">
      <w:pPr>
        <w:adjustRightInd w:val="0"/>
        <w:snapToGrid w:val="0"/>
        <w:spacing w:line="360" w:lineRule="auto"/>
        <w:ind w:firstLine="400" w:firstLineChars="200"/>
        <w:rPr>
          <w:rFonts w:hint="eastAsia" w:asciiTheme="minorEastAsia" w:hAnsiTheme="minorEastAsia" w:cstheme="minorEastAsia"/>
          <w:bCs/>
          <w:sz w:val="20"/>
          <w:szCs w:val="20"/>
        </w:rPr>
      </w:pPr>
      <w:r>
        <w:rPr>
          <w:rFonts w:hint="eastAsia" w:asciiTheme="minorEastAsia" w:hAnsiTheme="minorEastAsia" w:cstheme="minorEastAsia"/>
          <w:bCs/>
          <w:sz w:val="20"/>
          <w:szCs w:val="20"/>
        </w:rPr>
        <w:t>2-1-1、配送方到达指定地点，将货物清单送至采购方，甲方根据验收标准检验产品，清点货物，填写验收单，对于验收不合格的产品，乙方应及时处理，并调动公司应急小组及时进行统计补货，为此造成的损失及费用由乙方负责。</w:t>
      </w:r>
    </w:p>
    <w:p w14:paraId="33718720">
      <w:pPr>
        <w:adjustRightInd w:val="0"/>
        <w:snapToGrid w:val="0"/>
        <w:spacing w:line="360" w:lineRule="auto"/>
        <w:ind w:firstLine="400" w:firstLineChars="200"/>
        <w:rPr>
          <w:rFonts w:hint="eastAsia" w:asciiTheme="minorEastAsia" w:hAnsiTheme="minorEastAsia" w:cstheme="minorEastAsia"/>
          <w:bCs/>
          <w:sz w:val="20"/>
          <w:szCs w:val="20"/>
        </w:rPr>
      </w:pPr>
      <w:r>
        <w:rPr>
          <w:rFonts w:hint="eastAsia" w:asciiTheme="minorEastAsia" w:hAnsiTheme="minorEastAsia" w:cstheme="minorEastAsia"/>
          <w:bCs/>
          <w:sz w:val="20"/>
          <w:szCs w:val="20"/>
        </w:rPr>
        <w:t>2-1-2、原材料验收由甲方业务管理方、乙方、餐厅使用方，三方现场检验，对供应产品的质量无异议数量准确无误后，三方签字，各自留存。</w:t>
      </w:r>
    </w:p>
    <w:p w14:paraId="2559B244">
      <w:pPr>
        <w:adjustRightInd w:val="0"/>
        <w:snapToGrid w:val="0"/>
        <w:spacing w:line="360" w:lineRule="auto"/>
        <w:ind w:firstLine="400" w:firstLineChars="200"/>
        <w:rPr>
          <w:rFonts w:hint="eastAsia" w:asciiTheme="minorEastAsia" w:hAnsiTheme="minorEastAsia" w:cstheme="minorEastAsia"/>
          <w:bCs/>
          <w:sz w:val="20"/>
          <w:szCs w:val="20"/>
        </w:rPr>
      </w:pPr>
      <w:r>
        <w:rPr>
          <w:rFonts w:hint="eastAsia" w:asciiTheme="minorEastAsia" w:hAnsiTheme="minorEastAsia" w:cstheme="minorEastAsia"/>
          <w:bCs/>
          <w:sz w:val="20"/>
          <w:szCs w:val="20"/>
        </w:rPr>
        <w:t>2-2、验收标准</w:t>
      </w:r>
    </w:p>
    <w:p w14:paraId="7D1893CC">
      <w:pPr>
        <w:adjustRightInd w:val="0"/>
        <w:snapToGrid w:val="0"/>
        <w:spacing w:line="360" w:lineRule="auto"/>
        <w:ind w:firstLine="400" w:firstLineChars="200"/>
        <w:rPr>
          <w:rFonts w:hint="eastAsia" w:asciiTheme="minorEastAsia" w:hAnsiTheme="minorEastAsia" w:cstheme="minorEastAsia"/>
          <w:bCs/>
          <w:sz w:val="20"/>
          <w:szCs w:val="20"/>
        </w:rPr>
      </w:pPr>
      <w:r>
        <w:rPr>
          <w:rFonts w:hint="eastAsia" w:asciiTheme="minorEastAsia" w:hAnsiTheme="minorEastAsia" w:cstheme="minorEastAsia"/>
          <w:bCs/>
          <w:sz w:val="20"/>
          <w:szCs w:val="20"/>
        </w:rPr>
        <w:t>2-2-1、大米须达国家GB/T 1354特二级标准，水分含量在12°以下，无掺杂、无沙石，碎米少，无黄粒米；大米包装袋上印有大米品名、等级、数量、出厂名、生产日期、厂家地址及其电话。</w:t>
      </w:r>
    </w:p>
    <w:p w14:paraId="32EAE2AF">
      <w:pPr>
        <w:adjustRightInd w:val="0"/>
        <w:snapToGrid w:val="0"/>
        <w:spacing w:line="360" w:lineRule="auto"/>
        <w:ind w:firstLine="400" w:firstLineChars="200"/>
        <w:rPr>
          <w:rFonts w:hint="eastAsia" w:asciiTheme="minorEastAsia" w:hAnsiTheme="minorEastAsia" w:cstheme="minorEastAsia"/>
          <w:bCs/>
          <w:sz w:val="20"/>
          <w:szCs w:val="20"/>
        </w:rPr>
      </w:pPr>
      <w:r>
        <w:rPr>
          <w:rFonts w:hint="eastAsia" w:asciiTheme="minorEastAsia" w:hAnsiTheme="minorEastAsia" w:cstheme="minorEastAsia"/>
          <w:bCs/>
          <w:sz w:val="20"/>
          <w:szCs w:val="20"/>
        </w:rPr>
        <w:t>2-2-2、高筋面粉达GB/T 8607国家标准，质量等级一级；低筋面粉达GB/T 8608国家标准，质量等级一级；色泽正常，干爽无异味。</w:t>
      </w:r>
    </w:p>
    <w:p w14:paraId="78072ADD">
      <w:pPr>
        <w:adjustRightInd w:val="0"/>
        <w:snapToGrid w:val="0"/>
        <w:spacing w:line="360" w:lineRule="auto"/>
        <w:ind w:firstLine="400" w:firstLineChars="200"/>
        <w:rPr>
          <w:rFonts w:hint="eastAsia" w:asciiTheme="minorEastAsia" w:hAnsiTheme="minorEastAsia" w:cstheme="minorEastAsia"/>
          <w:bCs/>
          <w:sz w:val="20"/>
          <w:szCs w:val="20"/>
        </w:rPr>
      </w:pPr>
      <w:r>
        <w:rPr>
          <w:rFonts w:hint="eastAsia" w:asciiTheme="minorEastAsia" w:hAnsiTheme="minorEastAsia" w:cstheme="minorEastAsia"/>
          <w:bCs/>
          <w:sz w:val="20"/>
          <w:szCs w:val="20"/>
        </w:rPr>
        <w:t>2-2-3、验收粮、油时必须要求供方提供经国家食品卫生检验检疫机构检验出具的该批次批粮、油产品检验报告或合格证。批量粮、油到货后，必须抽样打开包装仔细检查，要求供方产品不掺假、不过期、不变质、不变味、无杂质、无毒害，货物净重量须与外包装标明的重量一致，符合国家食品行业的标准产品。</w:t>
      </w:r>
    </w:p>
    <w:p w14:paraId="46045194">
      <w:pPr>
        <w:adjustRightInd w:val="0"/>
        <w:snapToGrid w:val="0"/>
        <w:spacing w:line="360" w:lineRule="auto"/>
        <w:ind w:firstLine="400" w:firstLineChars="200"/>
        <w:rPr>
          <w:rFonts w:hint="eastAsia" w:asciiTheme="minorEastAsia" w:hAnsiTheme="minorEastAsia" w:cstheme="minorEastAsia"/>
          <w:bCs/>
          <w:sz w:val="20"/>
          <w:szCs w:val="20"/>
        </w:rPr>
      </w:pPr>
      <w:r>
        <w:rPr>
          <w:rFonts w:hint="eastAsia" w:asciiTheme="minorEastAsia" w:hAnsiTheme="minorEastAsia" w:cstheme="minorEastAsia"/>
          <w:bCs/>
          <w:sz w:val="20"/>
          <w:szCs w:val="20"/>
        </w:rPr>
        <w:t>2-2-4、肉类必须保证提供为当日生产产品，肉身必须盖有卫生检疫章，同时出具加盖政府机构动物卫生监督所鲜章的动物检疫合格证明，畜肉品须色泽鲜亮、无任何异味、无毛、按压无注水，纹理清晰，肉质细腻，品质好。</w:t>
      </w:r>
    </w:p>
    <w:p w14:paraId="2EBA66D2">
      <w:pPr>
        <w:adjustRightInd w:val="0"/>
        <w:snapToGrid w:val="0"/>
        <w:spacing w:line="360" w:lineRule="auto"/>
        <w:ind w:firstLine="400" w:firstLineChars="200"/>
        <w:rPr>
          <w:rFonts w:hint="eastAsia" w:asciiTheme="minorEastAsia" w:hAnsiTheme="minorEastAsia" w:cstheme="minorEastAsia"/>
          <w:bCs/>
          <w:sz w:val="20"/>
          <w:szCs w:val="20"/>
        </w:rPr>
      </w:pPr>
      <w:r>
        <w:rPr>
          <w:rFonts w:hint="eastAsia" w:asciiTheme="minorEastAsia" w:hAnsiTheme="minorEastAsia" w:cstheme="minorEastAsia"/>
          <w:bCs/>
          <w:sz w:val="20"/>
          <w:szCs w:val="20"/>
        </w:rPr>
        <w:t>2-2-5、禽类制品须肉面干净、无任何异味、无注水、无羽毛、表皮无疤痕，大小匀称、肉质紧至，码放整齐。</w:t>
      </w:r>
    </w:p>
    <w:p w14:paraId="400747C7">
      <w:pPr>
        <w:adjustRightInd w:val="0"/>
        <w:snapToGrid w:val="0"/>
        <w:spacing w:line="360" w:lineRule="auto"/>
        <w:ind w:firstLine="400" w:firstLineChars="200"/>
        <w:rPr>
          <w:rFonts w:hint="eastAsia" w:asciiTheme="minorEastAsia" w:hAnsiTheme="minorEastAsia" w:cstheme="minorEastAsia"/>
          <w:bCs/>
          <w:sz w:val="20"/>
          <w:szCs w:val="20"/>
        </w:rPr>
      </w:pPr>
      <w:r>
        <w:rPr>
          <w:rFonts w:hint="eastAsia" w:asciiTheme="minorEastAsia" w:hAnsiTheme="minorEastAsia" w:cstheme="minorEastAsia"/>
          <w:bCs/>
          <w:sz w:val="20"/>
          <w:szCs w:val="20"/>
        </w:rPr>
        <w:t>2-2-6、蔬菜类必须保证无黄叶、枯死叶、无虫、无杂质，须当日采摘，当日供应，原菜须保证菜面干净、无明显泥土、码放整齐、无破损、大小基本统一、不得过熟或欠熟；净菜须保证菜面完全干净、无泥土、按统一标准加工、码放整齐、无须二次处理可以直接进行熟加工。</w:t>
      </w:r>
    </w:p>
    <w:p w14:paraId="72596DB0">
      <w:pPr>
        <w:adjustRightInd w:val="0"/>
        <w:snapToGrid w:val="0"/>
        <w:spacing w:line="360" w:lineRule="auto"/>
        <w:ind w:firstLine="400" w:firstLineChars="200"/>
        <w:rPr>
          <w:rFonts w:hint="eastAsia" w:asciiTheme="minorEastAsia" w:hAnsiTheme="minorEastAsia" w:cstheme="minorEastAsia"/>
          <w:bCs/>
          <w:sz w:val="20"/>
          <w:szCs w:val="20"/>
        </w:rPr>
      </w:pPr>
      <w:r>
        <w:rPr>
          <w:rFonts w:hint="eastAsia" w:asciiTheme="minorEastAsia" w:hAnsiTheme="minorEastAsia" w:cstheme="minorEastAsia"/>
          <w:bCs/>
          <w:sz w:val="20"/>
          <w:szCs w:val="20"/>
        </w:rPr>
        <w:t>2-2-7、蛋类须新鲜，不超过三日以上产品，大小均匀，外壳无破裂，光洁饱满的产品，周转箱堆放 。</w:t>
      </w:r>
    </w:p>
    <w:p w14:paraId="6BD1F551">
      <w:pPr>
        <w:adjustRightInd w:val="0"/>
        <w:snapToGrid w:val="0"/>
        <w:spacing w:line="360" w:lineRule="auto"/>
        <w:ind w:firstLine="400" w:firstLineChars="200"/>
        <w:rPr>
          <w:rFonts w:hint="eastAsia" w:asciiTheme="minorEastAsia" w:hAnsiTheme="minorEastAsia" w:cstheme="minorEastAsia"/>
          <w:bCs/>
          <w:sz w:val="20"/>
          <w:szCs w:val="20"/>
        </w:rPr>
      </w:pPr>
      <w:r>
        <w:rPr>
          <w:rFonts w:hint="eastAsia" w:asciiTheme="minorEastAsia" w:hAnsiTheme="minorEastAsia" w:cstheme="minorEastAsia"/>
          <w:bCs/>
          <w:sz w:val="20"/>
          <w:szCs w:val="20"/>
        </w:rPr>
        <w:t>2-2-8、豆制类须保证食材干净、不含非食品用化学物质、按统一标准加工、码放整齐、无须二次处理可以直接进行熟加工。</w:t>
      </w:r>
    </w:p>
    <w:p w14:paraId="70BD1258">
      <w:pPr>
        <w:adjustRightInd w:val="0"/>
        <w:snapToGrid w:val="0"/>
        <w:spacing w:line="360" w:lineRule="auto"/>
        <w:ind w:firstLine="400" w:firstLineChars="200"/>
        <w:rPr>
          <w:rFonts w:hint="eastAsia" w:asciiTheme="minorEastAsia" w:hAnsiTheme="minorEastAsia" w:cstheme="minorEastAsia"/>
          <w:bCs/>
          <w:sz w:val="20"/>
          <w:szCs w:val="20"/>
        </w:rPr>
      </w:pPr>
      <w:r>
        <w:rPr>
          <w:rFonts w:hint="eastAsia" w:asciiTheme="minorEastAsia" w:hAnsiTheme="minorEastAsia" w:cstheme="minorEastAsia"/>
          <w:bCs/>
          <w:sz w:val="20"/>
          <w:szCs w:val="20"/>
        </w:rPr>
        <w:t>2-2-9、水果类须保证新鲜 ，无农药，无异味，无挤压、虫眼、过熟或欠熟，大小重量匀称等，表面无疤痕，果体光洁饱满。</w:t>
      </w:r>
    </w:p>
    <w:p w14:paraId="2075A5CB">
      <w:pPr>
        <w:adjustRightInd w:val="0"/>
        <w:snapToGrid w:val="0"/>
        <w:spacing w:line="360" w:lineRule="auto"/>
        <w:ind w:firstLine="400" w:firstLineChars="200"/>
        <w:rPr>
          <w:rFonts w:hint="eastAsia" w:asciiTheme="minorEastAsia" w:hAnsiTheme="minorEastAsia" w:cstheme="minorEastAsia"/>
          <w:bCs/>
          <w:sz w:val="20"/>
          <w:szCs w:val="20"/>
        </w:rPr>
      </w:pPr>
      <w:r>
        <w:rPr>
          <w:rFonts w:hint="eastAsia" w:asciiTheme="minorEastAsia" w:hAnsiTheme="minorEastAsia" w:cstheme="minorEastAsia"/>
          <w:bCs/>
          <w:sz w:val="20"/>
          <w:szCs w:val="20"/>
        </w:rPr>
        <w:t>2-2-10、水产品类须保证鲜活、大小基本统一，水产类净菜须保证处理干净。</w:t>
      </w:r>
    </w:p>
    <w:p w14:paraId="5C661EE8">
      <w:pPr>
        <w:adjustRightInd w:val="0"/>
        <w:snapToGrid w:val="0"/>
        <w:spacing w:line="360" w:lineRule="auto"/>
        <w:ind w:firstLine="400" w:firstLineChars="200"/>
        <w:rPr>
          <w:rFonts w:hint="eastAsia" w:asciiTheme="minorEastAsia" w:hAnsiTheme="minorEastAsia" w:cstheme="minorEastAsia"/>
          <w:bCs/>
          <w:sz w:val="20"/>
          <w:szCs w:val="20"/>
        </w:rPr>
      </w:pPr>
      <w:r>
        <w:rPr>
          <w:rFonts w:hint="eastAsia" w:asciiTheme="minorEastAsia" w:hAnsiTheme="minorEastAsia" w:cstheme="minorEastAsia"/>
          <w:bCs/>
          <w:sz w:val="20"/>
          <w:szCs w:val="20"/>
        </w:rPr>
        <w:t>2-2-11、冻品外包装需完整，无破损，无不封口现象，有生产日期。干货类须保证配送种类、品牌、规格，质量完全符合采购方要求，生产日期须在保质期二分之一天之内，包装完整、无任何破损、无挤压、无破碎、无异味、无任何表面附着物或衍生物。</w:t>
      </w:r>
    </w:p>
    <w:p w14:paraId="54BC9308">
      <w:pPr>
        <w:adjustRightInd w:val="0"/>
        <w:snapToGrid w:val="0"/>
        <w:spacing w:line="360" w:lineRule="auto"/>
        <w:ind w:firstLine="400" w:firstLineChars="200"/>
        <w:rPr>
          <w:rFonts w:hint="eastAsia" w:asciiTheme="minorEastAsia" w:hAnsiTheme="minorEastAsia" w:cstheme="minorEastAsia"/>
          <w:bCs/>
          <w:sz w:val="20"/>
          <w:szCs w:val="20"/>
        </w:rPr>
      </w:pPr>
      <w:r>
        <w:rPr>
          <w:rFonts w:hint="eastAsia" w:asciiTheme="minorEastAsia" w:hAnsiTheme="minorEastAsia" w:cstheme="minorEastAsia"/>
          <w:bCs/>
          <w:sz w:val="20"/>
          <w:szCs w:val="20"/>
        </w:rPr>
        <w:t>2-2-12、调料类须保证色泽正常，具有该品种固有的香味，滋味无异味，油酱均匀的酱体或无结块的粉状固体，封口平整，无破包，夹包，漏包，无污染。</w:t>
      </w:r>
    </w:p>
    <w:p w14:paraId="61617132">
      <w:pPr>
        <w:adjustRightInd w:val="0"/>
        <w:snapToGrid w:val="0"/>
        <w:spacing w:line="360" w:lineRule="auto"/>
        <w:ind w:firstLine="400" w:firstLineChars="200"/>
        <w:rPr>
          <w:rFonts w:hint="eastAsia" w:asciiTheme="minorEastAsia" w:hAnsiTheme="minorEastAsia" w:cstheme="minorEastAsia"/>
          <w:bCs/>
          <w:sz w:val="20"/>
          <w:szCs w:val="20"/>
        </w:rPr>
      </w:pPr>
      <w:r>
        <w:rPr>
          <w:rFonts w:hint="eastAsia" w:asciiTheme="minorEastAsia" w:hAnsiTheme="minorEastAsia" w:cstheme="minorEastAsia"/>
          <w:bCs/>
          <w:sz w:val="20"/>
          <w:szCs w:val="20"/>
        </w:rPr>
        <w:t>2-2-13、副食及其他须保证食材干净、不含非食品用化学物质、按统一标准加工、码放整齐、无须二次处理可以直接进行熟加工。牛奶，小食品，须保证规格品种完全符合采购人要求，大小包装规格齐全、生产日期须在保质期二分之一天之内，凭出厂合格证与检验员章确认质量。</w:t>
      </w:r>
    </w:p>
    <w:p w14:paraId="72407C74">
      <w:pPr>
        <w:adjustRightInd w:val="0"/>
        <w:snapToGrid w:val="0"/>
        <w:spacing w:line="360" w:lineRule="auto"/>
        <w:ind w:firstLine="402" w:firstLineChars="200"/>
        <w:rPr>
          <w:rFonts w:hint="eastAsia" w:asciiTheme="minorEastAsia" w:hAnsiTheme="minorEastAsia" w:cstheme="minorEastAsia"/>
          <w:b/>
          <w:sz w:val="20"/>
          <w:szCs w:val="20"/>
        </w:rPr>
      </w:pPr>
      <w:r>
        <w:rPr>
          <w:rFonts w:hint="eastAsia" w:asciiTheme="minorEastAsia" w:hAnsiTheme="minorEastAsia" w:cstheme="minorEastAsia"/>
          <w:b/>
          <w:sz w:val="20"/>
          <w:szCs w:val="20"/>
        </w:rPr>
        <w:t>八、甲方的权利和义务</w:t>
      </w:r>
    </w:p>
    <w:p w14:paraId="2EF3608F">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1、甲方有权督促乙方完成合同中协议的所有工作内容及其工作进度；</w:t>
      </w:r>
    </w:p>
    <w:p w14:paraId="49CC0F83">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2、甲方应主动提供有利于项目顺利执行实施的相关资源及便利；</w:t>
      </w:r>
    </w:p>
    <w:p w14:paraId="347BEBF5">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3、甲方有权向乙方提出整改建议和意见。</w:t>
      </w:r>
    </w:p>
    <w:p w14:paraId="1117E7E7">
      <w:pPr>
        <w:adjustRightInd w:val="0"/>
        <w:snapToGrid w:val="0"/>
        <w:spacing w:line="360" w:lineRule="auto"/>
        <w:ind w:firstLine="402" w:firstLineChars="200"/>
        <w:rPr>
          <w:rFonts w:hint="eastAsia" w:asciiTheme="minorEastAsia" w:hAnsiTheme="minorEastAsia" w:cstheme="minorEastAsia"/>
          <w:b/>
          <w:sz w:val="20"/>
          <w:szCs w:val="20"/>
        </w:rPr>
      </w:pPr>
      <w:r>
        <w:rPr>
          <w:rFonts w:hint="eastAsia" w:asciiTheme="minorEastAsia" w:hAnsiTheme="minorEastAsia" w:cstheme="minorEastAsia"/>
          <w:b/>
          <w:sz w:val="20"/>
          <w:szCs w:val="20"/>
        </w:rPr>
        <w:t>九、乙方的权利和义务</w:t>
      </w:r>
    </w:p>
    <w:p w14:paraId="5D2850D9">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1、对本合同规定的委托范围内的项目享有管理权及服务义务。</w:t>
      </w:r>
    </w:p>
    <w:p w14:paraId="6EB27D0E">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2、根据本合同的规定向甲方收取相关服务费用，并有权在本项目管理范围内管理及合理使用。</w:t>
      </w:r>
    </w:p>
    <w:p w14:paraId="50747553">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3、及时向甲方通告本项目执行范围内有关的重大事项，及时配合处理投诉。</w:t>
      </w:r>
    </w:p>
    <w:p w14:paraId="1EC5D915">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4、接受项目行业管理部门及政府有关部门的指导，接受甲方的监督。</w:t>
      </w:r>
    </w:p>
    <w:p w14:paraId="2725ABA2">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5、国家法律、法规所规定由乙方承担的其它责任。</w:t>
      </w:r>
    </w:p>
    <w:p w14:paraId="6B3637BF">
      <w:pPr>
        <w:adjustRightInd w:val="0"/>
        <w:snapToGrid w:val="0"/>
        <w:spacing w:line="360" w:lineRule="auto"/>
        <w:ind w:firstLine="402" w:firstLineChars="200"/>
        <w:rPr>
          <w:rFonts w:hint="eastAsia" w:asciiTheme="minorEastAsia" w:hAnsiTheme="minorEastAsia" w:cstheme="minorEastAsia"/>
          <w:b/>
          <w:sz w:val="20"/>
          <w:szCs w:val="20"/>
        </w:rPr>
      </w:pPr>
      <w:r>
        <w:rPr>
          <w:rFonts w:hint="eastAsia" w:asciiTheme="minorEastAsia" w:hAnsiTheme="minorEastAsia" w:cstheme="minorEastAsia"/>
          <w:b/>
          <w:sz w:val="20"/>
          <w:szCs w:val="20"/>
        </w:rPr>
        <w:t>十、违约责任</w:t>
      </w:r>
    </w:p>
    <w:p w14:paraId="1A0588AF">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1、违约责任按《中华人民共和国民法典》处理中的相关条款执行。</w:t>
      </w:r>
    </w:p>
    <w:bookmarkEnd w:id="1"/>
    <w:p w14:paraId="6159636F">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2、乙方没有按时按要求配送到位，影响甲方员工餐厅正常开餐的，以当日需求计划总量两倍价款赔付当日损失，同时甲方将对乙方进行处罚。</w:t>
      </w:r>
    </w:p>
    <w:p w14:paraId="3D488C90">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3、在验收时有不符合要求的，一律退回，乙方无条件重新更换配送货物，更换后仍然不符合标准的甲方有权对乙方处以一定金额的罚款。</w:t>
      </w:r>
    </w:p>
    <w:p w14:paraId="23455817">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4、任何因产品质量问题导致的食品安全或食物中毒责任，在确认导致问题的品种后，由乙方承担全部法律责任与经济损失，除对甲方进行赔付外，甲方有权单方终止合同。</w:t>
      </w:r>
    </w:p>
    <w:p w14:paraId="2F38F5AC">
      <w:pPr>
        <w:adjustRightInd w:val="0"/>
        <w:snapToGrid w:val="0"/>
        <w:spacing w:line="360" w:lineRule="auto"/>
        <w:ind w:firstLine="400" w:firstLineChars="200"/>
        <w:rPr>
          <w:rFonts w:hint="eastAsia" w:asciiTheme="minorEastAsia" w:hAnsiTheme="minorEastAsia" w:eastAsiaTheme="minorEastAsia" w:cstheme="minorEastAsia"/>
          <w:sz w:val="20"/>
          <w:szCs w:val="20"/>
          <w:lang w:val="en-US" w:eastAsia="zh-CN"/>
        </w:rPr>
      </w:pPr>
      <w:r>
        <w:rPr>
          <w:rFonts w:hint="eastAsia" w:asciiTheme="minorEastAsia" w:hAnsiTheme="minorEastAsia" w:cstheme="minorEastAsia"/>
          <w:sz w:val="20"/>
          <w:szCs w:val="20"/>
          <w:lang w:val="en-US" w:eastAsia="zh-CN"/>
        </w:rPr>
        <w:t>5、原材料供应商对于可能的违约责任或食品安全责任的责任承担说明。</w:t>
      </w:r>
    </w:p>
    <w:p w14:paraId="365133C9">
      <w:pPr>
        <w:adjustRightInd w:val="0"/>
        <w:snapToGrid w:val="0"/>
        <w:spacing w:line="360" w:lineRule="auto"/>
        <w:ind w:firstLine="402" w:firstLineChars="200"/>
        <w:rPr>
          <w:rFonts w:hint="eastAsia" w:asciiTheme="minorEastAsia" w:hAnsiTheme="minorEastAsia" w:cstheme="minorEastAsia"/>
          <w:b/>
          <w:sz w:val="20"/>
          <w:szCs w:val="20"/>
        </w:rPr>
      </w:pPr>
      <w:r>
        <w:rPr>
          <w:rFonts w:hint="eastAsia" w:asciiTheme="minorEastAsia" w:hAnsiTheme="minorEastAsia" w:cstheme="minorEastAsia"/>
          <w:b/>
          <w:sz w:val="20"/>
          <w:szCs w:val="20"/>
        </w:rPr>
        <w:t>十一、服务承诺</w:t>
      </w:r>
    </w:p>
    <w:p w14:paraId="643C8028">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1、乙方需派一名项目经理，直接与甲方沟通，负责每批次供货现场的监督和协调工作，项目经理接收甲方提出的问题与要求，并及时向公司申请调动资源，解决甲方在项目实施过程中遇到的问题。</w:t>
      </w:r>
    </w:p>
    <w:p w14:paraId="000D6C15">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2、项目在实施过程中会出现不可预料的需求变更，乙方需积极配合甲方的需求变更。</w:t>
      </w:r>
    </w:p>
    <w:p w14:paraId="1DF8042C">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3、根据采购方需求，保证供货及时。</w:t>
      </w:r>
    </w:p>
    <w:p w14:paraId="4EC4DBB5">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4、所有包装产品日期保证新鲜。</w:t>
      </w:r>
    </w:p>
    <w:p w14:paraId="712DA06B">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5、保证所配送的各类食材符合国家食品安全标准要求，不掺杂、掺假、以次充好、以不合格品冒充合格品。保证蔬菜类做到：新鲜菜光滑、清脆鲜嫩，无变质腐烂、无黄叶、不带泥沙、无杂草；水果类做到新鲜，颜色亮丽，无变质腐烂。</w:t>
      </w:r>
    </w:p>
    <w:p w14:paraId="7E7017C3">
      <w:pPr>
        <w:adjustRightInd w:val="0"/>
        <w:snapToGrid w:val="0"/>
        <w:spacing w:line="360" w:lineRule="auto"/>
        <w:ind w:firstLine="402" w:firstLineChars="200"/>
        <w:rPr>
          <w:rFonts w:hint="eastAsia" w:asciiTheme="minorEastAsia" w:hAnsiTheme="minorEastAsia" w:cstheme="minorEastAsia"/>
          <w:b/>
          <w:sz w:val="20"/>
          <w:szCs w:val="20"/>
        </w:rPr>
      </w:pPr>
      <w:r>
        <w:rPr>
          <w:rFonts w:hint="eastAsia" w:asciiTheme="minorEastAsia" w:hAnsiTheme="minorEastAsia" w:cstheme="minorEastAsia"/>
          <w:b/>
          <w:sz w:val="20"/>
          <w:szCs w:val="20"/>
        </w:rPr>
        <w:t>十二、不可抗力事件处理</w:t>
      </w:r>
    </w:p>
    <w:p w14:paraId="2D4C8D73">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6CDB471F">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2、本合同中的不可抗力指不能预见、不能避免并不能克服的客观情况。包括但不限于：自然灾害如地震、台风、洪水、火灾；政府行为、法律规定或其适用的变化或者其他任何无法预见、避免或者控制的事件。</w:t>
      </w:r>
    </w:p>
    <w:p w14:paraId="33446201">
      <w:pPr>
        <w:adjustRightInd w:val="0"/>
        <w:snapToGrid w:val="0"/>
        <w:spacing w:line="360" w:lineRule="auto"/>
        <w:ind w:firstLine="402" w:firstLineChars="200"/>
        <w:rPr>
          <w:rFonts w:hint="eastAsia" w:asciiTheme="minorEastAsia" w:hAnsiTheme="minorEastAsia" w:cstheme="minorEastAsia"/>
          <w:b/>
          <w:sz w:val="20"/>
          <w:szCs w:val="20"/>
        </w:rPr>
      </w:pPr>
      <w:r>
        <w:rPr>
          <w:rFonts w:hint="eastAsia" w:asciiTheme="minorEastAsia" w:hAnsiTheme="minorEastAsia" w:cstheme="minorEastAsia"/>
          <w:b/>
          <w:sz w:val="20"/>
          <w:szCs w:val="20"/>
        </w:rPr>
        <w:t>十三、合同组成</w:t>
      </w:r>
    </w:p>
    <w:p w14:paraId="61709003">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1、中标通知书</w:t>
      </w:r>
    </w:p>
    <w:p w14:paraId="3651A027">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2、合同文件</w:t>
      </w:r>
    </w:p>
    <w:p w14:paraId="7479C292">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3、国家相关规范及标准</w:t>
      </w:r>
    </w:p>
    <w:p w14:paraId="7E2A4309">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4、磋商文件</w:t>
      </w:r>
    </w:p>
    <w:p w14:paraId="365AB4F8">
      <w:pPr>
        <w:adjustRightInd w:val="0"/>
        <w:snapToGrid w:val="0"/>
        <w:spacing w:line="360" w:lineRule="auto"/>
        <w:ind w:firstLine="400" w:firstLineChars="200"/>
        <w:rPr>
          <w:rFonts w:hint="eastAsia" w:asciiTheme="minorEastAsia" w:hAnsiTheme="minorEastAsia" w:cstheme="minorEastAsia"/>
          <w:sz w:val="20"/>
          <w:szCs w:val="20"/>
        </w:rPr>
      </w:pPr>
      <w:r>
        <w:rPr>
          <w:rFonts w:hint="eastAsia" w:asciiTheme="minorEastAsia" w:hAnsiTheme="minorEastAsia" w:cstheme="minorEastAsia"/>
          <w:sz w:val="20"/>
          <w:szCs w:val="20"/>
        </w:rPr>
        <w:t>5、磋商响应文件</w:t>
      </w:r>
    </w:p>
    <w:p w14:paraId="50DD5BF2">
      <w:pPr>
        <w:adjustRightInd w:val="0"/>
        <w:snapToGrid w:val="0"/>
        <w:spacing w:line="360" w:lineRule="auto"/>
        <w:ind w:firstLine="402" w:firstLineChars="200"/>
        <w:rPr>
          <w:rFonts w:hint="eastAsia" w:asciiTheme="minorEastAsia" w:hAnsiTheme="minorEastAsia" w:cstheme="minorEastAsia"/>
          <w:b/>
          <w:sz w:val="20"/>
          <w:szCs w:val="20"/>
        </w:rPr>
      </w:pPr>
      <w:bookmarkStart w:id="2" w:name="_Toc19515394"/>
      <w:r>
        <w:rPr>
          <w:rFonts w:hint="eastAsia" w:asciiTheme="minorEastAsia" w:hAnsiTheme="minorEastAsia" w:cstheme="minorEastAsia"/>
          <w:b/>
          <w:sz w:val="20"/>
          <w:szCs w:val="20"/>
        </w:rPr>
        <w:t>十四、解决争议的方法</w:t>
      </w:r>
      <w:bookmarkEnd w:id="2"/>
    </w:p>
    <w:p w14:paraId="571D2230">
      <w:pPr>
        <w:autoSpaceDE w:val="0"/>
        <w:autoSpaceDN w:val="0"/>
        <w:snapToGrid w:val="0"/>
        <w:spacing w:line="360" w:lineRule="auto"/>
        <w:ind w:right="-110" w:firstLine="400" w:firstLineChars="200"/>
        <w:textAlignment w:val="bottom"/>
        <w:rPr>
          <w:rFonts w:hint="eastAsia" w:asciiTheme="minorEastAsia" w:hAnsiTheme="minorEastAsia" w:cstheme="minorEastAsia"/>
          <w:sz w:val="20"/>
          <w:szCs w:val="20"/>
        </w:rPr>
      </w:pPr>
      <w:r>
        <w:rPr>
          <w:rFonts w:hint="eastAsia" w:asciiTheme="minorEastAsia" w:hAnsiTheme="minorEastAsia" w:cstheme="minorEastAsia"/>
          <w:sz w:val="20"/>
          <w:szCs w:val="20"/>
        </w:rPr>
        <w:t>凡因本合同引起的或与本合同有关的争议，双方应友好协商解决。协商不成时，甲、乙双方均同意向甲方所在地人民法院提起诉讼解决。</w:t>
      </w:r>
    </w:p>
    <w:p w14:paraId="13B56C06">
      <w:pPr>
        <w:adjustRightInd w:val="0"/>
        <w:snapToGrid w:val="0"/>
        <w:spacing w:line="360" w:lineRule="auto"/>
        <w:ind w:firstLine="402" w:firstLineChars="200"/>
        <w:rPr>
          <w:rFonts w:hint="eastAsia" w:asciiTheme="minorEastAsia" w:hAnsiTheme="minorEastAsia" w:cstheme="minorEastAsia"/>
          <w:b/>
          <w:sz w:val="20"/>
          <w:szCs w:val="20"/>
        </w:rPr>
      </w:pPr>
      <w:bookmarkStart w:id="3" w:name="_Toc19515395"/>
      <w:r>
        <w:rPr>
          <w:rFonts w:hint="eastAsia" w:asciiTheme="minorEastAsia" w:hAnsiTheme="minorEastAsia" w:cstheme="minorEastAsia"/>
          <w:b/>
          <w:sz w:val="20"/>
          <w:szCs w:val="20"/>
        </w:rPr>
        <w:t>十五、合同生效及其它</w:t>
      </w:r>
      <w:bookmarkEnd w:id="3"/>
    </w:p>
    <w:p w14:paraId="31FDDAD4">
      <w:pPr>
        <w:autoSpaceDE w:val="0"/>
        <w:autoSpaceDN w:val="0"/>
        <w:snapToGrid w:val="0"/>
        <w:spacing w:line="360" w:lineRule="auto"/>
        <w:ind w:right="-110" w:firstLine="400" w:firstLineChars="200"/>
        <w:textAlignment w:val="bottom"/>
        <w:rPr>
          <w:rFonts w:hint="eastAsia" w:asciiTheme="minorEastAsia" w:hAnsiTheme="minorEastAsia" w:cstheme="minorEastAsia"/>
          <w:sz w:val="20"/>
          <w:szCs w:val="20"/>
        </w:rPr>
      </w:pPr>
      <w:r>
        <w:rPr>
          <w:rFonts w:hint="eastAsia" w:asciiTheme="minorEastAsia" w:hAnsiTheme="minorEastAsia" w:cstheme="minorEastAsia"/>
          <w:sz w:val="20"/>
          <w:szCs w:val="20"/>
        </w:rPr>
        <w:t>1、合同未尽事宜、由甲、乙双方协商，作为合同补充，与原合同具有同等法律效力。</w:t>
      </w:r>
    </w:p>
    <w:p w14:paraId="72C0B6C7">
      <w:pPr>
        <w:tabs>
          <w:tab w:val="left" w:pos="8391"/>
        </w:tabs>
        <w:autoSpaceDE w:val="0"/>
        <w:autoSpaceDN w:val="0"/>
        <w:snapToGrid w:val="0"/>
        <w:spacing w:line="360" w:lineRule="auto"/>
        <w:ind w:right="-69" w:firstLine="400" w:firstLineChars="200"/>
        <w:textAlignment w:val="bottom"/>
        <w:rPr>
          <w:rFonts w:hint="eastAsia" w:asciiTheme="minorEastAsia" w:hAnsiTheme="minorEastAsia" w:cstheme="minorEastAsia"/>
          <w:sz w:val="20"/>
          <w:szCs w:val="20"/>
        </w:rPr>
      </w:pPr>
      <w:r>
        <w:rPr>
          <w:rFonts w:hint="eastAsia" w:asciiTheme="minorEastAsia" w:hAnsiTheme="minorEastAsia" w:cstheme="minorEastAsia"/>
          <w:sz w:val="20"/>
          <w:szCs w:val="20"/>
        </w:rPr>
        <w:t>2、 本合同一式</w:t>
      </w:r>
      <w:r>
        <w:rPr>
          <w:rFonts w:hint="eastAsia" w:asciiTheme="minorEastAsia" w:hAnsiTheme="minorEastAsia" w:cstheme="minorEastAsia"/>
          <w:sz w:val="20"/>
          <w:szCs w:val="20"/>
          <w:u w:val="single"/>
        </w:rPr>
        <w:t xml:space="preserve">  </w:t>
      </w:r>
      <w:r>
        <w:rPr>
          <w:rFonts w:hint="eastAsia" w:asciiTheme="minorEastAsia" w:hAnsiTheme="minorEastAsia" w:cstheme="minorEastAsia"/>
          <w:sz w:val="20"/>
          <w:szCs w:val="20"/>
        </w:rPr>
        <w:t>份，甲方、乙方双方分别执</w:t>
      </w:r>
      <w:r>
        <w:rPr>
          <w:rFonts w:hint="eastAsia" w:asciiTheme="minorEastAsia" w:hAnsiTheme="minorEastAsia" w:cstheme="minorEastAsia"/>
          <w:sz w:val="20"/>
          <w:szCs w:val="20"/>
          <w:u w:val="single"/>
        </w:rPr>
        <w:t xml:space="preserve">  </w:t>
      </w:r>
      <w:r>
        <w:rPr>
          <w:rFonts w:hint="eastAsia" w:asciiTheme="minorEastAsia" w:hAnsiTheme="minorEastAsia" w:cstheme="minorEastAsia"/>
          <w:sz w:val="20"/>
          <w:szCs w:val="20"/>
        </w:rPr>
        <w:t>份，</w:t>
      </w:r>
      <w:r>
        <w:rPr>
          <w:rFonts w:hint="eastAsia" w:asciiTheme="minorEastAsia" w:hAnsiTheme="minorEastAsia" w:cstheme="minorEastAsia"/>
          <w:sz w:val="20"/>
          <w:szCs w:val="20"/>
          <w:u w:val="single"/>
        </w:rPr>
        <w:t xml:space="preserve">   </w:t>
      </w:r>
      <w:r>
        <w:rPr>
          <w:rFonts w:hint="eastAsia" w:asciiTheme="minorEastAsia" w:hAnsiTheme="minorEastAsia" w:cstheme="minorEastAsia"/>
          <w:sz w:val="20"/>
          <w:szCs w:val="20"/>
        </w:rPr>
        <w:t>备案</w:t>
      </w:r>
      <w:r>
        <w:rPr>
          <w:rFonts w:hint="eastAsia" w:asciiTheme="minorEastAsia" w:hAnsiTheme="minorEastAsia" w:cstheme="minorEastAsia"/>
          <w:sz w:val="20"/>
          <w:szCs w:val="20"/>
          <w:u w:val="single"/>
        </w:rPr>
        <w:t xml:space="preserve">  </w:t>
      </w:r>
      <w:r>
        <w:rPr>
          <w:rFonts w:hint="eastAsia" w:asciiTheme="minorEastAsia" w:hAnsiTheme="minorEastAsia" w:cstheme="minorEastAsia"/>
          <w:sz w:val="20"/>
          <w:szCs w:val="20"/>
        </w:rPr>
        <w:t>份。</w:t>
      </w:r>
    </w:p>
    <w:p w14:paraId="6630E03C">
      <w:pPr>
        <w:tabs>
          <w:tab w:val="left" w:pos="8391"/>
        </w:tabs>
        <w:autoSpaceDE w:val="0"/>
        <w:autoSpaceDN w:val="0"/>
        <w:snapToGrid w:val="0"/>
        <w:spacing w:line="360" w:lineRule="auto"/>
        <w:ind w:right="-69" w:firstLine="400" w:firstLineChars="200"/>
        <w:textAlignment w:val="bottom"/>
        <w:rPr>
          <w:rFonts w:hint="eastAsia" w:asciiTheme="minorEastAsia" w:hAnsiTheme="minorEastAsia" w:cstheme="minorEastAsia"/>
          <w:sz w:val="20"/>
          <w:szCs w:val="20"/>
        </w:rPr>
      </w:pPr>
      <w:r>
        <w:rPr>
          <w:rFonts w:hint="eastAsia" w:asciiTheme="minorEastAsia" w:hAnsiTheme="minorEastAsia" w:cstheme="minorEastAsia"/>
          <w:sz w:val="20"/>
          <w:szCs w:val="20"/>
        </w:rPr>
        <w:t>3、合同经甲乙双方盖章、签字后生效，合同签订地点为</w:t>
      </w:r>
      <w:r>
        <w:rPr>
          <w:rFonts w:hint="eastAsia" w:asciiTheme="minorEastAsia" w:hAnsiTheme="minorEastAsia" w:cstheme="minorEastAsia"/>
          <w:sz w:val="20"/>
          <w:szCs w:val="20"/>
          <w:u w:val="single"/>
        </w:rPr>
        <w:t xml:space="preserve">   </w:t>
      </w:r>
      <w:r>
        <w:rPr>
          <w:rFonts w:hint="eastAsia" w:asciiTheme="minorEastAsia" w:hAnsiTheme="minorEastAsia" w:cstheme="minorEastAsia"/>
          <w:sz w:val="20"/>
          <w:szCs w:val="20"/>
        </w:rPr>
        <w:t>。</w:t>
      </w:r>
    </w:p>
    <w:p w14:paraId="7C174605">
      <w:pPr>
        <w:tabs>
          <w:tab w:val="left" w:pos="8391"/>
        </w:tabs>
        <w:autoSpaceDE w:val="0"/>
        <w:autoSpaceDN w:val="0"/>
        <w:snapToGrid w:val="0"/>
        <w:spacing w:line="360" w:lineRule="auto"/>
        <w:ind w:right="-69" w:firstLine="400" w:firstLineChars="200"/>
        <w:textAlignment w:val="bottom"/>
        <w:rPr>
          <w:rFonts w:hint="eastAsia" w:asciiTheme="minorEastAsia" w:hAnsiTheme="minorEastAsia" w:cstheme="minorEastAsia"/>
          <w:sz w:val="20"/>
          <w:szCs w:val="20"/>
        </w:rPr>
      </w:pPr>
      <w:r>
        <w:rPr>
          <w:rFonts w:hint="eastAsia" w:asciiTheme="minorEastAsia" w:hAnsiTheme="minorEastAsia" w:cstheme="minorEastAsia"/>
          <w:sz w:val="20"/>
          <w:szCs w:val="20"/>
        </w:rPr>
        <w:t>4、生效时间：</w:t>
      </w:r>
      <w:r>
        <w:rPr>
          <w:rFonts w:hint="eastAsia" w:asciiTheme="minorEastAsia" w:hAnsiTheme="minorEastAsia" w:cstheme="minorEastAsia"/>
          <w:sz w:val="20"/>
          <w:szCs w:val="20"/>
          <w:u w:val="single"/>
        </w:rPr>
        <w:t xml:space="preserve">  </w:t>
      </w:r>
      <w:r>
        <w:rPr>
          <w:rFonts w:hint="eastAsia" w:asciiTheme="minorEastAsia" w:hAnsiTheme="minorEastAsia" w:cstheme="minorEastAsia"/>
          <w:sz w:val="20"/>
          <w:szCs w:val="20"/>
        </w:rPr>
        <w:t>年</w:t>
      </w:r>
      <w:r>
        <w:rPr>
          <w:rFonts w:hint="eastAsia" w:asciiTheme="minorEastAsia" w:hAnsiTheme="minorEastAsia" w:cstheme="minorEastAsia"/>
          <w:sz w:val="20"/>
          <w:szCs w:val="20"/>
          <w:u w:val="single"/>
        </w:rPr>
        <w:t xml:space="preserve">  </w:t>
      </w:r>
      <w:r>
        <w:rPr>
          <w:rFonts w:hint="eastAsia" w:asciiTheme="minorEastAsia" w:hAnsiTheme="minorEastAsia" w:cstheme="minorEastAsia"/>
          <w:sz w:val="20"/>
          <w:szCs w:val="20"/>
        </w:rPr>
        <w:t>月</w:t>
      </w:r>
      <w:r>
        <w:rPr>
          <w:rFonts w:hint="eastAsia" w:asciiTheme="minorEastAsia" w:hAnsiTheme="minorEastAsia" w:cstheme="minorEastAsia"/>
          <w:sz w:val="20"/>
          <w:szCs w:val="20"/>
          <w:u w:val="single"/>
        </w:rPr>
        <w:t xml:space="preserve">  </w:t>
      </w:r>
      <w:r>
        <w:rPr>
          <w:rFonts w:hint="eastAsia" w:asciiTheme="minorEastAsia" w:hAnsiTheme="minorEastAsia" w:cstheme="minorEastAsia"/>
          <w:sz w:val="20"/>
          <w:szCs w:val="20"/>
        </w:rPr>
        <w:t>日</w:t>
      </w:r>
    </w:p>
    <w:tbl>
      <w:tblPr>
        <w:tblStyle w:val="2"/>
        <w:tblpPr w:leftFromText="180" w:rightFromText="180" w:vertAnchor="text" w:horzAnchor="page" w:tblpX="1908" w:tblpY="454"/>
        <w:tblOverlap w:val="never"/>
        <w:tblW w:w="0" w:type="auto"/>
        <w:tblInd w:w="0" w:type="dxa"/>
        <w:tblLayout w:type="fixed"/>
        <w:tblCellMar>
          <w:top w:w="0" w:type="dxa"/>
          <w:left w:w="108" w:type="dxa"/>
          <w:bottom w:w="0" w:type="dxa"/>
          <w:right w:w="108" w:type="dxa"/>
        </w:tblCellMar>
      </w:tblPr>
      <w:tblGrid>
        <w:gridCol w:w="4643"/>
        <w:gridCol w:w="4643"/>
      </w:tblGrid>
      <w:tr w14:paraId="0117B67F">
        <w:tblPrEx>
          <w:tblCellMar>
            <w:top w:w="0" w:type="dxa"/>
            <w:left w:w="108" w:type="dxa"/>
            <w:bottom w:w="0" w:type="dxa"/>
            <w:right w:w="108" w:type="dxa"/>
          </w:tblCellMar>
        </w:tblPrEx>
        <w:trPr>
          <w:trHeight w:val="107" w:hRule="atLeast"/>
        </w:trPr>
        <w:tc>
          <w:tcPr>
            <w:tcW w:w="4643" w:type="dxa"/>
          </w:tcPr>
          <w:p w14:paraId="23E6210F">
            <w:pPr>
              <w:autoSpaceDE w:val="0"/>
              <w:autoSpaceDN w:val="0"/>
              <w:snapToGrid w:val="0"/>
              <w:spacing w:line="360" w:lineRule="auto"/>
              <w:ind w:right="-154"/>
              <w:textAlignment w:val="bottom"/>
              <w:rPr>
                <w:rFonts w:hint="eastAsia" w:asciiTheme="minorEastAsia" w:hAnsiTheme="minorEastAsia" w:cstheme="minorEastAsia"/>
                <w:sz w:val="20"/>
                <w:szCs w:val="20"/>
              </w:rPr>
            </w:pPr>
            <w:r>
              <w:rPr>
                <w:rFonts w:hint="eastAsia" w:asciiTheme="minorEastAsia" w:hAnsiTheme="minorEastAsia" w:cstheme="minorEastAsia"/>
                <w:sz w:val="20"/>
                <w:szCs w:val="20"/>
              </w:rPr>
              <w:t>甲方名称</w:t>
            </w:r>
            <w:r>
              <w:rPr>
                <w:rFonts w:hint="eastAsia" w:asciiTheme="minorEastAsia" w:hAnsiTheme="minorEastAsia" w:cstheme="minorEastAsia"/>
                <w:spacing w:val="-20"/>
                <w:sz w:val="20"/>
                <w:szCs w:val="20"/>
              </w:rPr>
              <w:t>（盖章）</w:t>
            </w:r>
            <w:r>
              <w:rPr>
                <w:rFonts w:hint="eastAsia" w:asciiTheme="minorEastAsia" w:hAnsiTheme="minorEastAsia" w:cstheme="minorEastAsia"/>
                <w:sz w:val="20"/>
                <w:szCs w:val="20"/>
              </w:rPr>
              <w:t>:</w:t>
            </w:r>
          </w:p>
          <w:p w14:paraId="4E8EFE03">
            <w:pPr>
              <w:autoSpaceDE w:val="0"/>
              <w:autoSpaceDN w:val="0"/>
              <w:snapToGrid w:val="0"/>
              <w:spacing w:line="360" w:lineRule="auto"/>
              <w:ind w:right="-154"/>
              <w:textAlignment w:val="bottom"/>
              <w:rPr>
                <w:rFonts w:hint="eastAsia" w:asciiTheme="minorEastAsia" w:hAnsiTheme="minorEastAsia" w:cstheme="minorEastAsia"/>
                <w:sz w:val="20"/>
                <w:szCs w:val="20"/>
              </w:rPr>
            </w:pPr>
            <w:r>
              <w:rPr>
                <w:rFonts w:hint="eastAsia" w:asciiTheme="minorEastAsia" w:hAnsiTheme="minorEastAsia" w:cstheme="minorEastAsia"/>
                <w:sz w:val="20"/>
                <w:szCs w:val="20"/>
              </w:rPr>
              <w:t>地址：</w:t>
            </w:r>
          </w:p>
          <w:p w14:paraId="5EB39074">
            <w:pPr>
              <w:autoSpaceDE w:val="0"/>
              <w:autoSpaceDN w:val="0"/>
              <w:snapToGrid w:val="0"/>
              <w:spacing w:line="360" w:lineRule="auto"/>
              <w:ind w:right="-154"/>
              <w:textAlignment w:val="bottom"/>
              <w:rPr>
                <w:rFonts w:hint="eastAsia" w:asciiTheme="minorEastAsia" w:hAnsiTheme="minorEastAsia" w:cstheme="minorEastAsia"/>
                <w:sz w:val="20"/>
                <w:szCs w:val="20"/>
              </w:rPr>
            </w:pPr>
            <w:r>
              <w:rPr>
                <w:rFonts w:hint="eastAsia" w:asciiTheme="minorEastAsia" w:hAnsiTheme="minorEastAsia" w:cstheme="minorEastAsia"/>
                <w:sz w:val="20"/>
                <w:szCs w:val="20"/>
              </w:rPr>
              <w:t>代表人（签字）：</w:t>
            </w:r>
          </w:p>
          <w:p w14:paraId="29B9AA67">
            <w:pPr>
              <w:autoSpaceDE w:val="0"/>
              <w:autoSpaceDN w:val="0"/>
              <w:snapToGrid w:val="0"/>
              <w:spacing w:line="360" w:lineRule="auto"/>
              <w:ind w:right="-154"/>
              <w:textAlignment w:val="bottom"/>
              <w:rPr>
                <w:rFonts w:hint="eastAsia" w:asciiTheme="minorEastAsia" w:hAnsiTheme="minorEastAsia" w:cstheme="minorEastAsia"/>
                <w:sz w:val="20"/>
                <w:szCs w:val="20"/>
              </w:rPr>
            </w:pPr>
            <w:r>
              <w:rPr>
                <w:rFonts w:hint="eastAsia" w:asciiTheme="minorEastAsia" w:hAnsiTheme="minorEastAsia" w:cstheme="minorEastAsia"/>
                <w:sz w:val="20"/>
                <w:szCs w:val="20"/>
              </w:rPr>
              <w:t>电话：</w:t>
            </w:r>
          </w:p>
          <w:p w14:paraId="52CAF959">
            <w:pPr>
              <w:autoSpaceDE w:val="0"/>
              <w:autoSpaceDN w:val="0"/>
              <w:snapToGrid w:val="0"/>
              <w:spacing w:line="360" w:lineRule="auto"/>
              <w:ind w:right="-154"/>
              <w:textAlignment w:val="bottom"/>
              <w:rPr>
                <w:rFonts w:hint="eastAsia" w:asciiTheme="minorEastAsia" w:hAnsiTheme="minorEastAsia" w:cstheme="minorEastAsia"/>
                <w:sz w:val="20"/>
                <w:szCs w:val="20"/>
              </w:rPr>
            </w:pPr>
            <w:r>
              <w:rPr>
                <w:rFonts w:hint="eastAsia" w:asciiTheme="minorEastAsia" w:hAnsiTheme="minorEastAsia" w:cstheme="minorEastAsia"/>
                <w:sz w:val="20"/>
                <w:szCs w:val="20"/>
              </w:rPr>
              <w:t>开户银行：</w:t>
            </w:r>
          </w:p>
          <w:p w14:paraId="4FCCB38F">
            <w:pPr>
              <w:autoSpaceDE w:val="0"/>
              <w:autoSpaceDN w:val="0"/>
              <w:snapToGrid w:val="0"/>
              <w:spacing w:line="360" w:lineRule="auto"/>
              <w:ind w:right="-154"/>
              <w:textAlignment w:val="bottom"/>
              <w:rPr>
                <w:rFonts w:hint="eastAsia" w:asciiTheme="minorEastAsia" w:hAnsiTheme="minorEastAsia" w:cstheme="minorEastAsia"/>
                <w:sz w:val="20"/>
                <w:szCs w:val="20"/>
              </w:rPr>
            </w:pPr>
            <w:r>
              <w:rPr>
                <w:rFonts w:hint="eastAsia" w:asciiTheme="minorEastAsia" w:hAnsiTheme="minorEastAsia" w:cstheme="minorEastAsia"/>
                <w:sz w:val="20"/>
                <w:szCs w:val="20"/>
              </w:rPr>
              <w:t>账号：</w:t>
            </w:r>
          </w:p>
        </w:tc>
        <w:tc>
          <w:tcPr>
            <w:tcW w:w="4643" w:type="dxa"/>
          </w:tcPr>
          <w:p w14:paraId="7B1141D3">
            <w:pPr>
              <w:autoSpaceDE w:val="0"/>
              <w:autoSpaceDN w:val="0"/>
              <w:snapToGrid w:val="0"/>
              <w:spacing w:line="360" w:lineRule="auto"/>
              <w:ind w:right="-154"/>
              <w:textAlignment w:val="bottom"/>
              <w:rPr>
                <w:rFonts w:hint="eastAsia" w:asciiTheme="minorEastAsia" w:hAnsiTheme="minorEastAsia" w:cstheme="minorEastAsia"/>
                <w:sz w:val="20"/>
                <w:szCs w:val="20"/>
              </w:rPr>
            </w:pPr>
            <w:r>
              <w:rPr>
                <w:rFonts w:hint="eastAsia" w:asciiTheme="minorEastAsia" w:hAnsiTheme="minorEastAsia" w:cstheme="minorEastAsia"/>
                <w:sz w:val="20"/>
                <w:szCs w:val="20"/>
              </w:rPr>
              <w:t>乙方名称</w:t>
            </w:r>
            <w:r>
              <w:rPr>
                <w:rFonts w:hint="eastAsia" w:asciiTheme="minorEastAsia" w:hAnsiTheme="minorEastAsia" w:cstheme="minorEastAsia"/>
                <w:spacing w:val="-20"/>
                <w:sz w:val="20"/>
                <w:szCs w:val="20"/>
              </w:rPr>
              <w:t>（盖章）</w:t>
            </w:r>
            <w:r>
              <w:rPr>
                <w:rFonts w:hint="eastAsia" w:asciiTheme="minorEastAsia" w:hAnsiTheme="minorEastAsia" w:cstheme="minorEastAsia"/>
                <w:sz w:val="20"/>
                <w:szCs w:val="20"/>
              </w:rPr>
              <w:t>:</w:t>
            </w:r>
          </w:p>
          <w:p w14:paraId="6017236D">
            <w:pPr>
              <w:autoSpaceDE w:val="0"/>
              <w:autoSpaceDN w:val="0"/>
              <w:snapToGrid w:val="0"/>
              <w:spacing w:line="360" w:lineRule="auto"/>
              <w:ind w:right="-154"/>
              <w:textAlignment w:val="bottom"/>
              <w:rPr>
                <w:rFonts w:hint="eastAsia" w:asciiTheme="minorEastAsia" w:hAnsiTheme="minorEastAsia" w:cstheme="minorEastAsia"/>
                <w:sz w:val="20"/>
                <w:szCs w:val="20"/>
              </w:rPr>
            </w:pPr>
            <w:r>
              <w:rPr>
                <w:rFonts w:hint="eastAsia" w:asciiTheme="minorEastAsia" w:hAnsiTheme="minorEastAsia" w:cstheme="minorEastAsia"/>
                <w:sz w:val="20"/>
                <w:szCs w:val="20"/>
              </w:rPr>
              <w:t>地址：</w:t>
            </w:r>
          </w:p>
          <w:p w14:paraId="72B6FC76">
            <w:pPr>
              <w:autoSpaceDE w:val="0"/>
              <w:autoSpaceDN w:val="0"/>
              <w:snapToGrid w:val="0"/>
              <w:spacing w:line="360" w:lineRule="auto"/>
              <w:ind w:right="-154"/>
              <w:textAlignment w:val="bottom"/>
              <w:rPr>
                <w:rFonts w:hint="eastAsia" w:asciiTheme="minorEastAsia" w:hAnsiTheme="minorEastAsia" w:cstheme="minorEastAsia"/>
                <w:sz w:val="20"/>
                <w:szCs w:val="20"/>
              </w:rPr>
            </w:pPr>
            <w:r>
              <w:rPr>
                <w:rFonts w:hint="eastAsia" w:asciiTheme="minorEastAsia" w:hAnsiTheme="minorEastAsia" w:cstheme="minorEastAsia"/>
                <w:sz w:val="20"/>
                <w:szCs w:val="20"/>
              </w:rPr>
              <w:t>代表人（签字）：</w:t>
            </w:r>
          </w:p>
          <w:p w14:paraId="71004256">
            <w:pPr>
              <w:autoSpaceDE w:val="0"/>
              <w:autoSpaceDN w:val="0"/>
              <w:snapToGrid w:val="0"/>
              <w:spacing w:line="360" w:lineRule="auto"/>
              <w:ind w:right="-154"/>
              <w:textAlignment w:val="bottom"/>
              <w:rPr>
                <w:rFonts w:hint="eastAsia" w:asciiTheme="minorEastAsia" w:hAnsiTheme="minorEastAsia" w:cstheme="minorEastAsia"/>
                <w:sz w:val="20"/>
                <w:szCs w:val="20"/>
              </w:rPr>
            </w:pPr>
            <w:r>
              <w:rPr>
                <w:rFonts w:hint="eastAsia" w:asciiTheme="minorEastAsia" w:hAnsiTheme="minorEastAsia" w:cstheme="minorEastAsia"/>
                <w:sz w:val="20"/>
                <w:szCs w:val="20"/>
              </w:rPr>
              <w:t>电话：</w:t>
            </w:r>
          </w:p>
          <w:p w14:paraId="31FDC6AB">
            <w:pPr>
              <w:autoSpaceDE w:val="0"/>
              <w:autoSpaceDN w:val="0"/>
              <w:snapToGrid w:val="0"/>
              <w:spacing w:line="360" w:lineRule="auto"/>
              <w:ind w:right="-154"/>
              <w:textAlignment w:val="bottom"/>
              <w:rPr>
                <w:rFonts w:hint="eastAsia" w:asciiTheme="minorEastAsia" w:hAnsiTheme="minorEastAsia" w:cstheme="minorEastAsia"/>
                <w:sz w:val="20"/>
                <w:szCs w:val="20"/>
              </w:rPr>
            </w:pPr>
            <w:r>
              <w:rPr>
                <w:rFonts w:hint="eastAsia" w:asciiTheme="minorEastAsia" w:hAnsiTheme="minorEastAsia" w:cstheme="minorEastAsia"/>
                <w:sz w:val="20"/>
                <w:szCs w:val="20"/>
              </w:rPr>
              <w:t>开户银行：</w:t>
            </w:r>
          </w:p>
          <w:p w14:paraId="6FBB5779">
            <w:pPr>
              <w:autoSpaceDE w:val="0"/>
              <w:autoSpaceDN w:val="0"/>
              <w:snapToGrid w:val="0"/>
              <w:spacing w:line="360" w:lineRule="auto"/>
              <w:ind w:right="-154"/>
              <w:textAlignment w:val="bottom"/>
              <w:rPr>
                <w:rFonts w:hint="eastAsia" w:asciiTheme="minorEastAsia" w:hAnsiTheme="minorEastAsia" w:cstheme="minorEastAsia"/>
                <w:sz w:val="20"/>
                <w:szCs w:val="20"/>
              </w:rPr>
            </w:pPr>
            <w:r>
              <w:rPr>
                <w:rFonts w:hint="eastAsia" w:asciiTheme="minorEastAsia" w:hAnsiTheme="minorEastAsia" w:cstheme="minorEastAsia"/>
                <w:sz w:val="20"/>
                <w:szCs w:val="20"/>
              </w:rPr>
              <w:t>账号：</w:t>
            </w:r>
          </w:p>
        </w:tc>
      </w:tr>
    </w:tbl>
    <w:p w14:paraId="05C0CB3B">
      <w:pPr>
        <w:tabs>
          <w:tab w:val="left" w:pos="8391"/>
        </w:tabs>
        <w:autoSpaceDE w:val="0"/>
        <w:autoSpaceDN w:val="0"/>
        <w:snapToGrid w:val="0"/>
        <w:spacing w:line="360" w:lineRule="auto"/>
        <w:ind w:right="-69" w:firstLine="400" w:firstLineChars="200"/>
        <w:textAlignment w:val="bottom"/>
        <w:rPr>
          <w:rFonts w:hint="eastAsia" w:asciiTheme="minorEastAsia" w:hAnsiTheme="minorEastAsia" w:cstheme="minorEastAsia"/>
          <w:sz w:val="20"/>
          <w:szCs w:val="20"/>
        </w:rPr>
      </w:pPr>
    </w:p>
    <w:bookmarkEnd w:id="0"/>
    <w:p w14:paraId="6366DE52">
      <w:pPr>
        <w:tabs>
          <w:tab w:val="left" w:pos="735"/>
        </w:tabs>
        <w:autoSpaceDE w:val="0"/>
        <w:autoSpaceDN w:val="0"/>
        <w:adjustRightInd w:val="0"/>
        <w:snapToGrid w:val="0"/>
        <w:spacing w:before="312" w:beforeLines="100" w:line="360" w:lineRule="auto"/>
        <w:ind w:firstLine="629"/>
      </w:pPr>
    </w:p>
    <w:p w14:paraId="5A0DF72B">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4101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2025-12-08T08:55:19Z</dcterms:created>
  <dc:creator>Lenovo</dc:creator>
  <cp:lastModifiedBy>钟声</cp:lastModifiedBy>
  <dcterms:modified xsi:type="dcterms:W3CDTF">2025-12-08T08:55:21Z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eyJoZGlkIjoiOTJmM2Y3YjgzNWU3ZDc3NGZmYWVkNzQyNTc3YTk1YjQiLCJ1c2VySWQiOiI2Nzc2MzQ0MTQifQ==</vt:lpwstr>
  </property>
  <property fmtid="{D5CDD505-2E9C-101B-9397-08002B2CF9AE}" pid="4" name="ICV">
    <vt:lpwstr>5B448B2C3FEF466E8393CBDCDD07E086_12</vt:lpwstr>
  </property>
</Properties>
</file>