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版本号：ZXHC-2025-ZCYT-120120251209001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雁塔区政府机关南院食堂外包服务项目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ZXHC-2025-ZCYT-1201</w:t>
      </w:r>
      <w:r>
        <w:br/>
      </w:r>
      <w:r>
        <w:br/>
      </w:r>
      <w:r>
        <w:br/>
      </w:r>
    </w:p>
    <w:p>
      <w:pPr>
        <w:pStyle w:val="null3"/>
        <w:jc w:val="center"/>
        <w:outlineLvl w:val="2"/>
      </w:pPr>
      <w:r>
        <w:rPr>
          <w:rFonts w:ascii="仿宋_GB2312" w:hAnsi="仿宋_GB2312" w:cs="仿宋_GB2312" w:eastAsia="仿宋_GB2312"/>
          <w:sz w:val="28"/>
          <w:b/>
        </w:rPr>
        <w:t>西安市雁塔区机关事务服务中心</w:t>
      </w:r>
    </w:p>
    <w:p>
      <w:pPr>
        <w:pStyle w:val="null3"/>
        <w:jc w:val="center"/>
        <w:outlineLvl w:val="2"/>
      </w:pPr>
      <w:r>
        <w:rPr>
          <w:rFonts w:ascii="仿宋_GB2312" w:hAnsi="仿宋_GB2312" w:cs="仿宋_GB2312" w:eastAsia="仿宋_GB2312"/>
          <w:sz w:val="28"/>
          <w:b/>
        </w:rPr>
        <w:t>陕西中信海诚造价咨询有限公司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陕西中信海诚造价咨询有限公司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西安市雁塔区机关事务服务中心</w:t>
      </w:r>
      <w:r>
        <w:rPr>
          <w:rFonts w:ascii="仿宋_GB2312" w:hAnsi="仿宋_GB2312" w:cs="仿宋_GB2312" w:eastAsia="仿宋_GB2312"/>
        </w:rPr>
        <w:t>委托，拟对</w:t>
      </w:r>
      <w:r>
        <w:rPr>
          <w:rFonts w:ascii="仿宋_GB2312" w:hAnsi="仿宋_GB2312" w:cs="仿宋_GB2312" w:eastAsia="仿宋_GB2312"/>
        </w:rPr>
        <w:t>雁塔区政府机关南院食堂外包服务项目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ZXHC-2025-ZCYT-1201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雁塔区政府机关南院食堂外包服务项目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 xml:space="preserve"> 承担雁塔区政府机关南院食堂原材料采购、设备维修维护(设备和餐具初次由采购人配齐)和餐饮服务管理、餐饮食品加工、出售、服务、保洁、厨余垃圾处理等业务和与此相关的管理工作。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采购包1（雁塔区政府机关南院食堂外包服务）：属于专门面向中小企业采购。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①如法定代表人参加投标，应出具《法定代表人身份证明书》及本人有效身份证件，其信息须与供应商营业执照登记的法定代表人信息一致；②如由授权代表参加投标，应出具《法定代表人授权委托书》、法定代表人及被授权人本人有效身份证件，授权书中应明确授权范围、期限及项目名称。</w:t>
      </w:r>
    </w:p>
    <w:p>
      <w:pPr>
        <w:pStyle w:val="null3"/>
      </w:pPr>
      <w:r>
        <w:rPr>
          <w:rFonts w:ascii="仿宋_GB2312" w:hAnsi="仿宋_GB2312" w:cs="仿宋_GB2312" w:eastAsia="仿宋_GB2312"/>
        </w:rPr>
        <w:t>2、供应商资质：供应商须提供合法有效的《食品经营许可证》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029-85381212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陕西中信海诚造价咨询有限公司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陕西省西安市碑林区含光北路2号广丰国际大厦20808室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李晶晶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029-85262287 /13256900872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代理服务费收费标准：招标代理服务费的收取参照国家计委关于印发《招标代理服务收费管理暂行办法》的通知（计价格〔2002〕1980号）的相关要求收取。 缴纳方式： 采用现金或转账方式缴纳（账号信息如下）。 账户名称: 陕西中信海诚造价咨询有限公司西安第二分公司 账户号码: 129915362010501 开户银行:招商银行股份有限公司西安城南支行 转账事由： （项目简称或项目编号）项目服务费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西安市雁塔区机关事务服务中心</w:t>
      </w:r>
      <w:r>
        <w:rPr>
          <w:rFonts w:ascii="仿宋_GB2312" w:hAnsi="仿宋_GB2312" w:cs="仿宋_GB2312" w:eastAsia="仿宋_GB2312"/>
        </w:rPr>
        <w:t>和</w:t>
      </w:r>
      <w:r>
        <w:rPr>
          <w:rFonts w:ascii="仿宋_GB2312" w:hAnsi="仿宋_GB2312" w:cs="仿宋_GB2312" w:eastAsia="仿宋_GB2312"/>
        </w:rPr>
        <w:t>陕西中信海诚造价咨询有限公司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西安市雁塔区机关事务服务中心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陕西中信海诚造价咨询有限公司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陕西中信海诚造价咨询有限公司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陕西中信海诚造价咨询有限公司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陕西中信海诚造价咨询有限公司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陕西中信海诚造价咨询有限公司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联系人：蔺工</w:t>
      </w:r>
    </w:p>
    <w:p>
      <w:pPr>
        <w:pStyle w:val="null3"/>
      </w:pPr>
      <w:r>
        <w:rPr>
          <w:rFonts w:ascii="仿宋_GB2312" w:hAnsi="仿宋_GB2312" w:cs="仿宋_GB2312" w:eastAsia="仿宋_GB2312"/>
        </w:rPr>
        <w:t>联系电话：029-85262287</w:t>
      </w:r>
    </w:p>
    <w:p>
      <w:pPr>
        <w:pStyle w:val="null3"/>
      </w:pPr>
      <w:r>
        <w:rPr>
          <w:rFonts w:ascii="仿宋_GB2312" w:hAnsi="仿宋_GB2312" w:cs="仿宋_GB2312" w:eastAsia="仿宋_GB2312"/>
        </w:rPr>
        <w:t>地址：陕西省西安市碑林区含光北路 2 号广丰国际大厦Ⅱ区 806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承担雁塔区政府机关南院食堂原材料采购、设备维修维护(设备和餐具初次由采购人配齐)和餐饮服务管理、餐饮食品加工、出售、服务、保洁、厨余垃圾处理等业务和与此相关的管理工作。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2,230,000.00</w:t>
      </w:r>
    </w:p>
    <w:p>
      <w:pPr>
        <w:pStyle w:val="null3"/>
      </w:pPr>
      <w:r>
        <w:rPr>
          <w:rFonts w:ascii="仿宋_GB2312" w:hAnsi="仿宋_GB2312" w:cs="仿宋_GB2312" w:eastAsia="仿宋_GB2312"/>
        </w:rPr>
        <w:t>采购包最高限价（元）: 2,230,000.00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雁塔区政府机关南院食堂外包服务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标的名称：雁塔区政府机关南院食堂外包服务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ind w:left="600"/>
              <w:outlineLvl w:val="4"/>
            </w:pPr>
            <w:r>
              <w:drawing>
                <wp:inline distT="0" distR="0" distB="0" distL="0">
                  <wp:extent cx="1621155" cy="203287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2032876"/>
                          </a:xfrm>
                          <a:prstGeom prst="rect">
                            <a:avLst/>
                          </a:prstGeom>
                        </pic:spPr>
                      </pic:pic>
                    </a:graphicData>
                  </a:graphic>
                </wp:inline>
              </w:drawing>
            </w:r>
            <w:r>
              <w:drawing>
                <wp:inline distT="0" distR="0" distB="0" distL="0">
                  <wp:extent cx="1621155" cy="222717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2227170"/>
                          </a:xfrm>
                          <a:prstGeom prst="rect">
                            <a:avLst/>
                          </a:prstGeom>
                        </pic:spPr>
                      </pic:pic>
                    </a:graphicData>
                  </a:graphic>
                </wp:inline>
              </w:drawing>
            </w:r>
            <w:r>
              <w:drawing>
                <wp:inline distT="0" distR="0" distB="0" distL="0">
                  <wp:extent cx="1621155" cy="2315187"/>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2315187"/>
                          </a:xfrm>
                          <a:prstGeom prst="rect">
                            <a:avLst/>
                          </a:prstGeom>
                        </pic:spPr>
                      </pic:pic>
                    </a:graphicData>
                  </a:graphic>
                </wp:inline>
              </w:drawing>
            </w:r>
            <w:r>
              <w:drawing>
                <wp:inline distT="0" distR="0" distB="0" distL="0">
                  <wp:extent cx="1621155" cy="2277461"/>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621155" cy="2277461"/>
                          </a:xfrm>
                          <a:prstGeom prst="rect">
                            <a:avLst/>
                          </a:prstGeom>
                        </pic:spPr>
                      </pic:pic>
                    </a:graphicData>
                  </a:graphic>
                </wp:inline>
              </w:drawing>
            </w:r>
            <w:r>
              <w:drawing>
                <wp:inline distT="0" distR="0" distB="0" distL="0">
                  <wp:extent cx="1621155" cy="2283646"/>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621155" cy="2283646"/>
                          </a:xfrm>
                          <a:prstGeom prst="rect">
                            <a:avLst/>
                          </a:prstGeom>
                        </pic:spPr>
                      </pic:pic>
                    </a:graphicData>
                  </a:graphic>
                </wp:inline>
              </w:drawing>
            </w:r>
            <w:r>
              <w:drawing>
                <wp:inline distT="0" distR="0" distB="0" distL="0">
                  <wp:extent cx="1621155" cy="2264470"/>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1621155" cy="2264470"/>
                          </a:xfrm>
                          <a:prstGeom prst="rect">
                            <a:avLst/>
                          </a:prstGeom>
                        </pic:spPr>
                      </pic:pic>
                    </a:graphicData>
                  </a:graphic>
                </wp:inline>
              </w:drawing>
            </w:r>
            <w:r>
              <w:drawing>
                <wp:inline distT="0" distR="0" distB="0" distL="0">
                  <wp:extent cx="1621155" cy="2286573"/>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1621155" cy="2286573"/>
                          </a:xfrm>
                          <a:prstGeom prst="rect">
                            <a:avLst/>
                          </a:prstGeom>
                        </pic:spPr>
                      </pic:pic>
                    </a:graphicData>
                  </a:graphic>
                </wp:inline>
              </w:drawing>
            </w:r>
            <w:r>
              <w:drawing>
                <wp:inline distT="0" distR="0" distB="0" distL="0">
                  <wp:extent cx="1621155" cy="2176599"/>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1621155" cy="2176599"/>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2"/>
              </w:rPr>
              <w:t>投标</w:t>
            </w:r>
            <w:r>
              <w:rPr>
                <w:rFonts w:ascii="仿宋_GB2312" w:hAnsi="仿宋_GB2312" w:cs="仿宋_GB2312" w:eastAsia="仿宋_GB2312"/>
                <w:sz w:val="22"/>
              </w:rPr>
              <w:t>报价=厨师</w:t>
            </w:r>
            <w:r>
              <w:rPr>
                <w:rFonts w:ascii="仿宋_GB2312" w:hAnsi="仿宋_GB2312" w:cs="仿宋_GB2312" w:eastAsia="仿宋_GB2312"/>
                <w:sz w:val="22"/>
              </w:rPr>
              <w:t>团队费用+</w:t>
            </w:r>
            <w:r>
              <w:rPr>
                <w:rFonts w:ascii="仿宋_GB2312" w:hAnsi="仿宋_GB2312" w:cs="仿宋_GB2312" w:eastAsia="仿宋_GB2312"/>
                <w:sz w:val="24"/>
              </w:rPr>
              <w:t>食堂运维</w:t>
            </w:r>
            <w:r>
              <w:rPr>
                <w:rFonts w:ascii="仿宋_GB2312" w:hAnsi="仿宋_GB2312" w:cs="仿宋_GB2312" w:eastAsia="仿宋_GB2312"/>
                <w:sz w:val="22"/>
              </w:rPr>
              <w:t>费用+</w:t>
            </w:r>
            <w:r>
              <w:rPr>
                <w:rFonts w:ascii="仿宋_GB2312" w:hAnsi="仿宋_GB2312" w:cs="仿宋_GB2312" w:eastAsia="仿宋_GB2312"/>
                <w:sz w:val="22"/>
              </w:rPr>
              <w:t>食材费用</w:t>
            </w:r>
          </w:p>
          <w:p>
            <w:pPr>
              <w:pStyle w:val="null3"/>
            </w:pPr>
            <w:r>
              <w:rPr>
                <w:rFonts w:ascii="仿宋_GB2312" w:hAnsi="仿宋_GB2312" w:cs="仿宋_GB2312" w:eastAsia="仿宋_GB2312"/>
                <w:sz w:val="24"/>
              </w:rPr>
              <w:t>（食</w:t>
            </w:r>
            <w:r>
              <w:rPr>
                <w:rFonts w:ascii="仿宋_GB2312" w:hAnsi="仿宋_GB2312" w:cs="仿宋_GB2312" w:eastAsia="仿宋_GB2312"/>
                <w:sz w:val="24"/>
              </w:rPr>
              <w:t>材费用暂定金额1,150,000.00，报价时不可更改，</w:t>
            </w:r>
            <w:r>
              <w:rPr>
                <w:rFonts w:ascii="仿宋_GB2312" w:hAnsi="仿宋_GB2312" w:cs="仿宋_GB2312" w:eastAsia="仿宋_GB2312"/>
                <w:sz w:val="24"/>
              </w:rPr>
              <w:t>按实际供应结算</w:t>
            </w:r>
            <w:r>
              <w:rPr>
                <w:rFonts w:ascii="仿宋_GB2312" w:hAnsi="仿宋_GB2312" w:cs="仿宋_GB2312" w:eastAsia="仿宋_GB2312"/>
                <w:sz w:val="24"/>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详见评分办法。</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详见评分办法。</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（1）为顺利推进政府采购电子化交易平台试点应用工作，供应商需要在线提交所有通过电子化交易平台实施的政府采购项目的响应文件，发布中标结果公告后，中标供应商应及时向采购代理机构 提交一正二副，书籍（胶装）方式装订的盖章的纸质文件，若正本和副本不一致的，以正本为准。送至西安市碑林区含光北路 2 号广丰国际大厦 II 区 806 室。（2）供应商务必在开标截止时间30分钟前，通过项目电子化交易系统进行签到，如未进行签到，产生的一切后果由供应商自行承担。 （3）供应商的投标报价包括人工费，管理费，税费等所有费用，并符合计价规则。（4）签名是指手写签名或者加盖姓名章， 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供应商需在项目电子化交易系统中按要求上传相应证明文件并进行电子签章。（提供书面承诺函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①如法定代表人参加投标，应出具《法定代表人身份证明书》及本人有效身份证件，其信息须与供应商营业执照登记的法定代表人信息一致；②如由授权代表参加投标，应出具《法定代表人授权委托书》、法定代表人及被授权人本人有效身份证件，授权书中应明确授权范围、期限及项目名称。</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供应商须提供合法有效的《食品经营许可证》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供应商名称与获取招标文件登记的单位名称一致</w:t>
            </w:r>
          </w:p>
        </w:tc>
        <w:tc>
          <w:tcPr>
            <w:tcW w:type="dxa" w:w="1661"/>
          </w:tcPr>
          <w:p>
            <w:pPr>
              <w:pStyle w:val="null3"/>
            </w:pPr>
            <w:r>
              <w:rPr>
                <w:rFonts w:ascii="仿宋_GB2312" w:hAnsi="仿宋_GB2312" w:cs="仿宋_GB2312" w:eastAsia="仿宋_GB2312"/>
              </w:rPr>
              <w:t>开标一览表 业绩.docx 服务内容及服务邀请应答表 投标函 中小企业声明函 残疾人福利性单位声明函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业绩.docx 服务内容及服务邀请应答表 投标函 中小企业声明函 残疾人福利性单位声明函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一年</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（1）投标报价符合唯一性要求； （2）投标报价表填写符合要求；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管理服务流程</w:t>
            </w:r>
          </w:p>
        </w:tc>
        <w:tc>
          <w:tcPr>
            <w:tcW w:type="dxa" w:w="2492"/>
          </w:tcPr>
          <w:p>
            <w:pPr>
              <w:pStyle w:val="null3"/>
            </w:pPr>
            <w:r>
              <w:rPr>
                <w:rFonts w:ascii="仿宋_GB2312" w:hAnsi="仿宋_GB2312" w:cs="仿宋_GB2312" w:eastAsia="仿宋_GB2312"/>
              </w:rPr>
              <w:t>供应商针对本项目提供规范的管理服务流程，包含但不限于:内部管理架构、工作流程、自查制度、激励机制、信息反馈渠道等完整章节，缺一项或不满足扣2分，内容空泛存在瑕疵扣1分，扣完为止。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食品质量控制方案</w:t>
            </w:r>
          </w:p>
        </w:tc>
        <w:tc>
          <w:tcPr>
            <w:tcW w:type="dxa" w:w="2492"/>
          </w:tcPr>
          <w:p>
            <w:pPr>
              <w:pStyle w:val="null3"/>
            </w:pPr>
            <w:r>
              <w:rPr>
                <w:rFonts w:ascii="仿宋_GB2312" w:hAnsi="仿宋_GB2312" w:cs="仿宋_GB2312" w:eastAsia="仿宋_GB2312"/>
              </w:rPr>
              <w:t>供应商针对本项目提供食品质量控制方案、包含不限于:食品质量、食品安全、食材的采购、食材管理及保存管理、检验检查、日常维护措施及责任范围等完整章节，缺一项或不满足扣2分，内容空泛存在瑕疵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食品安全突发事件应急处置方案</w:t>
            </w:r>
          </w:p>
        </w:tc>
        <w:tc>
          <w:tcPr>
            <w:tcW w:type="dxa" w:w="2492"/>
          </w:tcPr>
          <w:p>
            <w:pPr>
              <w:pStyle w:val="null3"/>
            </w:pPr>
            <w:r>
              <w:rPr>
                <w:rFonts w:ascii="仿宋_GB2312" w:hAnsi="仿宋_GB2312" w:cs="仿宋_GB2312" w:eastAsia="仿宋_GB2312"/>
              </w:rPr>
              <w:t>供应商提供针对食堂设备、水、电、天然气、火、食物中毒应急预案及相应的措施等完整章节，缺一项或不满足扣2分，内容空泛存在瑕疵扣1分，扣完为止。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卫生管理措施</w:t>
            </w:r>
          </w:p>
        </w:tc>
        <w:tc>
          <w:tcPr>
            <w:tcW w:type="dxa" w:w="2492"/>
          </w:tcPr>
          <w:p>
            <w:pPr>
              <w:pStyle w:val="null3"/>
            </w:pPr>
            <w:r>
              <w:rPr>
                <w:rFonts w:ascii="仿宋_GB2312" w:hAnsi="仿宋_GB2312" w:cs="仿宋_GB2312" w:eastAsia="仿宋_GB2312"/>
              </w:rPr>
              <w:t>供应商针对本项目提供卫生管理措施，包含但不限于:厨具、餐具卫生、餐厅环境卫生、食品卫生、服务人员个人卫生等方面的管理及相关内容完整章节，缺一项或不满足扣2分，内容空泛存在瑕疵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供应商针对本项目的食物功能区的划分，各功能区的配餐方案</w:t>
            </w:r>
          </w:p>
        </w:tc>
        <w:tc>
          <w:tcPr>
            <w:tcW w:type="dxa" w:w="2492"/>
          </w:tcPr>
          <w:p>
            <w:pPr>
              <w:pStyle w:val="null3"/>
            </w:pPr>
            <w:r>
              <w:rPr>
                <w:rFonts w:ascii="仿宋_GB2312" w:hAnsi="仿宋_GB2312" w:cs="仿宋_GB2312" w:eastAsia="仿宋_GB2312"/>
              </w:rPr>
              <w:t>供应商提供针对营养作用、食用场景、安全合规等完整章节，缺一项或不满足扣2分，内容空泛存在瑕疵扣1分，扣完为止。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岗前培训</w:t>
            </w:r>
          </w:p>
        </w:tc>
        <w:tc>
          <w:tcPr>
            <w:tcW w:type="dxa" w:w="2492"/>
          </w:tcPr>
          <w:p>
            <w:pPr>
              <w:pStyle w:val="null3"/>
            </w:pPr>
            <w:r>
              <w:rPr>
                <w:rFonts w:ascii="仿宋_GB2312" w:hAnsi="仿宋_GB2312" w:cs="仿宋_GB2312" w:eastAsia="仿宋_GB2312"/>
              </w:rPr>
              <w:t>涵盖食品安全、服务礼仪、应急处理，培训计划详细等完整章节，缺一项或不满足扣2分，内容空泛存在瑕疵扣1分，扣完为止。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菜品供应方案</w:t>
            </w:r>
          </w:p>
        </w:tc>
        <w:tc>
          <w:tcPr>
            <w:tcW w:type="dxa" w:w="2492"/>
          </w:tcPr>
          <w:p>
            <w:pPr>
              <w:pStyle w:val="null3"/>
            </w:pPr>
            <w:r>
              <w:rPr>
                <w:rFonts w:ascii="仿宋_GB2312" w:hAnsi="仿宋_GB2312" w:cs="仿宋_GB2312" w:eastAsia="仿宋_GB2312"/>
              </w:rPr>
              <w:t>菜谱规划：提供一周不重样菜谱，涵盖早中晚餐，兼顾荤素搭配、营养均衡，得2分，内容空泛存在瑕疵扣1分，未提供，得0分。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供应商资质</w:t>
            </w:r>
          </w:p>
        </w:tc>
        <w:tc>
          <w:tcPr>
            <w:tcW w:type="dxa" w:w="2492"/>
          </w:tcPr>
          <w:p>
            <w:pPr>
              <w:pStyle w:val="null3"/>
            </w:pPr>
            <w:r>
              <w:rPr>
                <w:rFonts w:ascii="仿宋_GB2312" w:hAnsi="仿宋_GB2312" w:cs="仿宋_GB2312" w:eastAsia="仿宋_GB2312"/>
              </w:rPr>
              <w:t>具备ISO9001质量管理体系、ISO22000食品安全管理体系认证，每具备1项得2分，最高4分，未提供，得0分。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项目负责人：具备餐饮管理相关专业大专及以上学历，得2分；持有食品安全管理员证书，得2分；未提供，得0分。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供应商针对本项目的服务承诺</w:t>
            </w:r>
          </w:p>
        </w:tc>
        <w:tc>
          <w:tcPr>
            <w:tcW w:type="dxa" w:w="2492"/>
          </w:tcPr>
          <w:p>
            <w:pPr>
              <w:pStyle w:val="null3"/>
            </w:pPr>
            <w:r>
              <w:rPr>
                <w:rFonts w:ascii="仿宋_GB2312" w:hAnsi="仿宋_GB2312" w:cs="仿宋_GB2312" w:eastAsia="仿宋_GB2312"/>
              </w:rPr>
              <w:t>包括但不限于食品安全承诺、消防安全承诺、食堂环境卫生承诺、依法用工承诺、厨房设备安全运行承诺、菜品保障承诺等完整章节，缺一项或不满足扣1.5分，内容空泛存在瑕疵扣0.5分，扣完为止。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供应商针对本项目能提供的增值服务</w:t>
            </w:r>
          </w:p>
        </w:tc>
        <w:tc>
          <w:tcPr>
            <w:tcW w:type="dxa" w:w="2492"/>
          </w:tcPr>
          <w:p>
            <w:pPr>
              <w:pStyle w:val="null3"/>
            </w:pPr>
            <w:r>
              <w:rPr>
                <w:rFonts w:ascii="仿宋_GB2312" w:hAnsi="仿宋_GB2312" w:cs="仿宋_GB2312" w:eastAsia="仿宋_GB2312"/>
              </w:rPr>
              <w:t>提供节日特色餐食（如端午粽子、中秋月饼），每年≥4次，得2分，内容空泛存在瑕疵扣1分，未提供，得0分。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供应商提供2022年1月1日以来(以合同签订日期为准)类似的项目业绩，每提供一个合同得2分，满分8分。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有效投标最低报价为基准价得满分15分；其他各投标供应商的报价得分按下列公式计算 ：（基准价/投标报价）×15。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详见附件：南院食堂合同.docx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