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版本号：ZCXG-ZB-202501720250326001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雁塔区政务服务中心信息化软硬件运行维护项目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ZCXG-ZB-2025017</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雁塔区政务服务中心信息化软硬件运行维护项目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雁塔区政务服务中心信息化软硬件运行维护项目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雁塔区政务服务中心信息化软硬件运行维护项目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采购包1（雁塔区政务服务中心信息化软硬件运行维护项目）：属于专门面向中小企业采购。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 会保险参保缴费情况证明，依法不需要缴纳社 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代理服务费收费标准：1、根据《国家发展改革委关于进-步放开建设项目专业服务价格的通知 》(发改价格[2015]299号)的有关规定执行。 代理费缴存账户：开户名称：陕西众诚项目管理有限公司 开户银行：中国建设银行股份有限公司西安八里村支行 账号：6105 0172 3700 0000 1337 行号：105791000282 （备注：项目名称+代理服务费）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雁塔区政务服务中心信息化软硬件运行维护项目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信息化软硬件运行维护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标的名称：信息化软硬件运行维护</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36"/>
                <w:b/>
                <w:color w:val="000000"/>
              </w:rPr>
              <w:t>一、项目概况</w:t>
            </w:r>
          </w:p>
          <w:p>
            <w:pPr>
              <w:pStyle w:val="null3"/>
              <w:ind w:firstLine="740"/>
              <w:jc w:val="left"/>
            </w:pPr>
            <w:r>
              <w:rPr>
                <w:rFonts w:ascii="仿宋_GB2312" w:hAnsi="仿宋_GB2312" w:cs="仿宋_GB2312" w:eastAsia="仿宋_GB2312"/>
                <w:sz w:val="36"/>
                <w:color w:val="000000"/>
              </w:rPr>
              <w:t>雁塔区政务服务中心信息化软硬件运行维护项目</w:t>
            </w:r>
          </w:p>
          <w:p>
            <w:pPr>
              <w:pStyle w:val="null3"/>
              <w:ind w:firstLine="720"/>
              <w:jc w:val="left"/>
            </w:pPr>
            <w:r>
              <w:rPr>
                <w:rFonts w:ascii="仿宋_GB2312" w:hAnsi="仿宋_GB2312" w:cs="仿宋_GB2312" w:eastAsia="仿宋_GB2312"/>
                <w:sz w:val="36"/>
                <w:b/>
                <w:color w:val="000000"/>
              </w:rPr>
              <w:t>二、服务内容</w:t>
            </w:r>
            <w:r>
              <w:rPr>
                <w:rFonts w:ascii="仿宋_GB2312" w:hAnsi="仿宋_GB2312" w:cs="仿宋_GB2312" w:eastAsia="仿宋_GB2312"/>
                <w:sz w:val="36"/>
                <w:b/>
                <w:color w:val="000000"/>
              </w:rPr>
              <w:t>(包括工作区域、工作内容等)</w:t>
            </w:r>
          </w:p>
          <w:p>
            <w:pPr>
              <w:pStyle w:val="null3"/>
              <w:ind w:firstLine="720"/>
              <w:jc w:val="left"/>
            </w:pPr>
            <w:r>
              <w:rPr>
                <w:rFonts w:ascii="仿宋_GB2312" w:hAnsi="仿宋_GB2312" w:cs="仿宋_GB2312" w:eastAsia="仿宋_GB2312"/>
                <w:sz w:val="36"/>
                <w:color w:val="000000"/>
              </w:rPr>
              <w:t>运</w:t>
            </w:r>
            <w:r>
              <w:rPr>
                <w:rFonts w:ascii="仿宋_GB2312" w:hAnsi="仿宋_GB2312" w:cs="仿宋_GB2312" w:eastAsia="仿宋_GB2312"/>
                <w:sz w:val="36"/>
                <w:color w:val="000000"/>
              </w:rPr>
              <w:t>行维护服务包括：信息系统相关的主机设备、操作系统、服务器和存储设备及其他信息系统的运行维护与安全防范服务，保证雁塔区行政审批服务局现有的信息系统的正常运行，降低整体管理成本，提高网络信息系统的整体服务水平。同时根据日常维护的数据和记录</w:t>
            </w:r>
            <w:r>
              <w:rPr>
                <w:rFonts w:ascii="仿宋_GB2312" w:hAnsi="仿宋_GB2312" w:cs="仿宋_GB2312" w:eastAsia="仿宋_GB2312"/>
                <w:sz w:val="32"/>
                <w:color w:val="000000"/>
              </w:rPr>
              <w:t>，提供雁塔区政审服务批局信息系统的整体建设规划和建议，更好的为政审批服务局的信息化发展提供有力的保障。</w:t>
            </w:r>
          </w:p>
          <w:p>
            <w:pPr>
              <w:pStyle w:val="null3"/>
              <w:ind w:firstLine="660"/>
              <w:jc w:val="left"/>
            </w:pPr>
            <w:r>
              <w:rPr>
                <w:rFonts w:ascii="仿宋_GB2312" w:hAnsi="仿宋_GB2312" w:cs="仿宋_GB2312" w:eastAsia="仿宋_GB2312"/>
                <w:sz w:val="32"/>
                <w:color w:val="000000"/>
              </w:rPr>
              <w:t>信息系统的组成主要可分为两类：硬件设备和软件设备。硬件设备包括网络设备、安全设备、主机设备、存储设备、桌面设备和便民设施等；软件设备可分为操作系统软件、典型应用软件（如：监控软件、中间件软件等）、业务应用软件等。</w:t>
            </w:r>
          </w:p>
          <w:p>
            <w:pPr>
              <w:pStyle w:val="null3"/>
              <w:ind w:firstLine="660"/>
              <w:jc w:val="left"/>
            </w:pPr>
            <w:r>
              <w:rPr>
                <w:rFonts w:ascii="仿宋_GB2312" w:hAnsi="仿宋_GB2312" w:cs="仿宋_GB2312" w:eastAsia="仿宋_GB2312"/>
                <w:sz w:val="32"/>
                <w:color w:val="000000"/>
              </w:rPr>
              <w:t>通过运行维护服务的有效管理来提升信息系统的服务效率，协调各业务应用系统的内部运作，改善网络信息系统部门与业务部门的沟通，提高服务质量。结合行政审批服务局现有的系统环境、组织结构、信息资源和管理流程的特点，从流程、人员和技术三方面来规划用户的网络信息系统的结构。将运行目标、业务需求与信息化服务协调一致。</w:t>
            </w:r>
          </w:p>
          <w:p>
            <w:pPr>
              <w:pStyle w:val="null3"/>
              <w:ind w:firstLine="660"/>
              <w:jc w:val="left"/>
            </w:pPr>
            <w:r>
              <w:rPr>
                <w:rFonts w:ascii="仿宋_GB2312" w:hAnsi="仿宋_GB2312" w:cs="仿宋_GB2312" w:eastAsia="仿宋_GB2312"/>
                <w:sz w:val="32"/>
                <w:color w:val="000000"/>
              </w:rPr>
              <w:t>信息系统服务的目标是对政审批服务局现有的信息系统基础资源进行监控和管理，及时掌握网络信息系统资源现状和配置信息，反映信息系统资源的可用性情况和健康状况，创建一个可知可控的信息化环境，从而保证信息系统的各类业务应用系统的可靠、高效、持续、安全运行。</w:t>
            </w:r>
          </w:p>
          <w:p>
            <w:pPr>
              <w:pStyle w:val="null3"/>
              <w:ind w:firstLine="660"/>
              <w:jc w:val="left"/>
            </w:pPr>
            <w:r>
              <w:rPr>
                <w:rFonts w:ascii="仿宋_GB2312" w:hAnsi="仿宋_GB2312" w:cs="仿宋_GB2312" w:eastAsia="仿宋_GB2312"/>
                <w:sz w:val="32"/>
                <w:color w:val="000000"/>
              </w:rPr>
              <w:t>服务项目范围覆盖的信息系统资源包括以下几点的关键状态及参数指标：</w:t>
            </w:r>
            <w:r>
              <w:rPr>
                <w:rFonts w:ascii="仿宋_GB2312" w:hAnsi="仿宋_GB2312" w:cs="仿宋_GB2312" w:eastAsia="仿宋_GB2312"/>
                <w:sz w:val="32"/>
                <w:color w:val="000000"/>
              </w:rPr>
              <w:t>①运行状态、故障情况；②配置信息；③可用性情况及健康状况性能指标；④统计运维数椐、提供信息系统管理和工作报告、归纳总结并提供用户想了解的数椐报告。</w:t>
            </w:r>
          </w:p>
          <w:p>
            <w:pPr>
              <w:pStyle w:val="null3"/>
              <w:jc w:val="left"/>
            </w:pPr>
            <w:r>
              <w:rPr>
                <w:rFonts w:ascii="仿宋_GB2312" w:hAnsi="仿宋_GB2312" w:cs="仿宋_GB2312" w:eastAsia="仿宋_GB2312"/>
                <w:sz w:val="32"/>
                <w:color w:val="000000"/>
              </w:rPr>
              <w:t>三</w:t>
            </w:r>
            <w:r>
              <w:rPr>
                <w:rFonts w:ascii="仿宋_GB2312" w:hAnsi="仿宋_GB2312" w:cs="仿宋_GB2312" w:eastAsia="仿宋_GB2312"/>
                <w:sz w:val="32"/>
                <w:b/>
                <w:color w:val="000000"/>
              </w:rPr>
              <w:t>、服务要求</w:t>
            </w:r>
            <w:r>
              <w:rPr>
                <w:rFonts w:ascii="仿宋_GB2312" w:hAnsi="仿宋_GB2312" w:cs="仿宋_GB2312" w:eastAsia="仿宋_GB2312"/>
                <w:sz w:val="32"/>
                <w:b/>
                <w:color w:val="000000"/>
              </w:rPr>
              <w:t>(如对人员配置、专业设备、服</w:t>
            </w:r>
            <w:r>
              <w:rPr>
                <w:rFonts w:ascii="仿宋_GB2312" w:hAnsi="仿宋_GB2312" w:cs="仿宋_GB2312" w:eastAsia="仿宋_GB2312"/>
                <w:sz w:val="32"/>
                <w:b/>
                <w:color w:val="000000"/>
              </w:rPr>
              <w:t>务标准等</w:t>
            </w:r>
            <w:r>
              <w:rPr>
                <w:rFonts w:ascii="仿宋_GB2312" w:hAnsi="仿宋_GB2312" w:cs="仿宋_GB2312" w:eastAsia="仿宋_GB2312"/>
                <w:sz w:val="32"/>
                <w:b/>
                <w:color w:val="000000"/>
              </w:rPr>
              <w:t>)</w:t>
            </w:r>
          </w:p>
          <w:p>
            <w:pPr>
              <w:pStyle w:val="null3"/>
              <w:ind w:firstLine="668"/>
              <w:jc w:val="left"/>
            </w:pPr>
            <w:r>
              <w:rPr>
                <w:rFonts w:ascii="仿宋_GB2312" w:hAnsi="仿宋_GB2312" w:cs="仿宋_GB2312" w:eastAsia="仿宋_GB2312"/>
                <w:sz w:val="32"/>
                <w:color w:val="000000"/>
              </w:rPr>
              <w:t>在合同执行过程中需要服务商应执行的相关服务标准和应当履行的</w:t>
            </w:r>
            <w:r>
              <w:rPr>
                <w:rFonts w:ascii="仿宋_GB2312" w:hAnsi="仿宋_GB2312" w:cs="仿宋_GB2312" w:eastAsia="仿宋_GB2312"/>
                <w:sz w:val="32"/>
                <w:color w:val="000000"/>
              </w:rPr>
              <w:t>相关义务。</w:t>
            </w:r>
          </w:p>
          <w:p>
            <w:pPr>
              <w:pStyle w:val="null3"/>
              <w:ind w:firstLine="640"/>
              <w:jc w:val="both"/>
            </w:pPr>
            <w:r>
              <w:rPr>
                <w:rFonts w:ascii="仿宋_GB2312" w:hAnsi="仿宋_GB2312" w:cs="仿宋_GB2312" w:eastAsia="仿宋_GB2312"/>
                <w:sz w:val="32"/>
                <w:color w:val="000000"/>
              </w:rPr>
              <w:t>（一）安排不少于</w:t>
            </w:r>
            <w:r>
              <w:rPr>
                <w:rFonts w:ascii="仿宋_GB2312" w:hAnsi="仿宋_GB2312" w:cs="仿宋_GB2312" w:eastAsia="仿宋_GB2312"/>
                <w:sz w:val="32"/>
                <w:color w:val="000000"/>
              </w:rPr>
              <w:t>3人驻场服务，保障大厅的工位标准化设备、排队叫号设备、信息发布设备、自助服务设备、行政效能监控设备、安防门禁设备、公共广播设备、数据通信设备和业务系统正常运行，业务不中断。</w:t>
            </w:r>
          </w:p>
          <w:p>
            <w:pPr>
              <w:pStyle w:val="null3"/>
              <w:ind w:firstLine="640"/>
              <w:jc w:val="both"/>
            </w:pPr>
            <w:r>
              <w:rPr>
                <w:rFonts w:ascii="仿宋_GB2312" w:hAnsi="仿宋_GB2312" w:cs="仿宋_GB2312" w:eastAsia="仿宋_GB2312"/>
                <w:sz w:val="32"/>
                <w:color w:val="000000"/>
              </w:rPr>
              <w:t>（二）保障后台办公区数据通信设备、安防门禁设备、公共广播设备、会议设备、资产管理设备和业务系统正常运行，业务不中断。</w:t>
            </w:r>
          </w:p>
          <w:p>
            <w:pPr>
              <w:pStyle w:val="null3"/>
              <w:ind w:firstLine="640"/>
              <w:jc w:val="both"/>
            </w:pPr>
            <w:r>
              <w:rPr>
                <w:rFonts w:ascii="仿宋_GB2312" w:hAnsi="仿宋_GB2312" w:cs="仿宋_GB2312" w:eastAsia="仿宋_GB2312"/>
                <w:sz w:val="32"/>
                <w:color w:val="000000"/>
              </w:rPr>
              <w:t>（三）保障工作时间政务服务中心大厅所有设备</w:t>
            </w:r>
            <w:r>
              <w:rPr>
                <w:rFonts w:ascii="仿宋_GB2312" w:hAnsi="仿宋_GB2312" w:cs="仿宋_GB2312" w:eastAsia="仿宋_GB2312"/>
                <w:sz w:val="32"/>
                <w:color w:val="000000"/>
              </w:rPr>
              <w:t>9点前正常开机运行，17点00分后正常关闭（延时服务或其他活动除外）。</w:t>
            </w:r>
          </w:p>
          <w:p>
            <w:pPr>
              <w:pStyle w:val="null3"/>
              <w:ind w:firstLine="640"/>
              <w:jc w:val="both"/>
            </w:pPr>
            <w:r>
              <w:rPr>
                <w:rFonts w:ascii="仿宋_GB2312" w:hAnsi="仿宋_GB2312" w:cs="仿宋_GB2312" w:eastAsia="仿宋_GB2312"/>
                <w:sz w:val="32"/>
                <w:color w:val="000000"/>
              </w:rPr>
              <w:t>（四）对政务服务中心信息化基础环境设备日常维护保养，硬件故障维修服务。</w:t>
            </w:r>
          </w:p>
          <w:p>
            <w:pPr>
              <w:pStyle w:val="null3"/>
              <w:ind w:firstLine="640"/>
              <w:jc w:val="both"/>
            </w:pPr>
            <w:r>
              <w:rPr>
                <w:rFonts w:ascii="仿宋_GB2312" w:hAnsi="仿宋_GB2312" w:cs="仿宋_GB2312" w:eastAsia="仿宋_GB2312"/>
                <w:sz w:val="32"/>
                <w:color w:val="000000"/>
              </w:rPr>
              <w:t>（五）定时巡场大厅基础环境信息化设备，发现故障和问题进行及时处理。</w:t>
            </w:r>
          </w:p>
          <w:p>
            <w:pPr>
              <w:pStyle w:val="null3"/>
              <w:ind w:firstLine="640"/>
              <w:jc w:val="both"/>
            </w:pPr>
            <w:r>
              <w:rPr>
                <w:rFonts w:ascii="仿宋_GB2312" w:hAnsi="仿宋_GB2312" w:cs="仿宋_GB2312" w:eastAsia="仿宋_GB2312"/>
                <w:sz w:val="32"/>
                <w:color w:val="000000"/>
              </w:rPr>
              <w:t>（六）提供话务台服务，收集故障信息，派发维护工单，对故障及时响应、进行处理、反馈故障处理情况。</w:t>
            </w:r>
          </w:p>
          <w:p>
            <w:pPr>
              <w:pStyle w:val="null3"/>
              <w:ind w:firstLine="640"/>
              <w:jc w:val="both"/>
            </w:pPr>
            <w:r>
              <w:rPr>
                <w:rFonts w:ascii="仿宋_GB2312" w:hAnsi="仿宋_GB2312" w:cs="仿宋_GB2312" w:eastAsia="仿宋_GB2312"/>
                <w:sz w:val="32"/>
                <w:color w:val="000000"/>
              </w:rPr>
              <w:t>（七）定期（每周）对楼层机房巡检，检查机房环境、设备运行状态，整理线路及标识标签。</w:t>
            </w:r>
          </w:p>
          <w:p>
            <w:pPr>
              <w:pStyle w:val="null3"/>
              <w:ind w:firstLine="640"/>
              <w:jc w:val="both"/>
            </w:pPr>
            <w:r>
              <w:rPr>
                <w:rFonts w:ascii="仿宋_GB2312" w:hAnsi="仿宋_GB2312" w:cs="仿宋_GB2312" w:eastAsia="仿宋_GB2312"/>
                <w:sz w:val="32"/>
                <w:color w:val="000000"/>
              </w:rPr>
              <w:t>（八）综合业务系统的业务配置、账号管理、权限分配、事项调整等。</w:t>
            </w:r>
          </w:p>
          <w:p>
            <w:pPr>
              <w:pStyle w:val="null3"/>
              <w:ind w:firstLine="640"/>
              <w:jc w:val="both"/>
            </w:pPr>
            <w:r>
              <w:rPr>
                <w:rFonts w:ascii="仿宋_GB2312" w:hAnsi="仿宋_GB2312" w:cs="仿宋_GB2312" w:eastAsia="仿宋_GB2312"/>
                <w:sz w:val="32"/>
                <w:color w:val="000000"/>
              </w:rPr>
              <w:t>（九）配合业主完成信息化设备资产管理、盘点、变更、出入库等相关工作。</w:t>
            </w:r>
          </w:p>
          <w:p>
            <w:pPr>
              <w:pStyle w:val="null3"/>
              <w:ind w:firstLine="640"/>
              <w:jc w:val="both"/>
            </w:pPr>
            <w:r>
              <w:rPr>
                <w:rFonts w:ascii="仿宋_GB2312" w:hAnsi="仿宋_GB2312" w:cs="仿宋_GB2312" w:eastAsia="仿宋_GB2312"/>
                <w:sz w:val="32"/>
                <w:color w:val="000000"/>
              </w:rPr>
              <w:t>（十）对市民中心基础环境信息化设备每月一次除尘服务。</w:t>
            </w:r>
          </w:p>
          <w:p>
            <w:pPr>
              <w:pStyle w:val="null3"/>
              <w:ind w:firstLine="640"/>
              <w:jc w:val="both"/>
            </w:pPr>
            <w:r>
              <w:rPr>
                <w:rFonts w:ascii="仿宋_GB2312" w:hAnsi="仿宋_GB2312" w:cs="仿宋_GB2312" w:eastAsia="仿宋_GB2312"/>
                <w:sz w:val="32"/>
                <w:color w:val="000000"/>
              </w:rPr>
              <w:t>（十一）定期</w:t>
            </w:r>
            <w:r>
              <w:rPr>
                <w:rFonts w:ascii="仿宋_GB2312" w:hAnsi="仿宋_GB2312" w:cs="仿宋_GB2312" w:eastAsia="仿宋_GB2312"/>
                <w:sz w:val="32"/>
                <w:color w:val="000000"/>
              </w:rPr>
              <w:t>(每月、每季度、年度)提交服务报告、问题故障统计表。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合同实施： 1.中标人应在合同签订后3个日历日内安排人员就项目实施工作进行安排、部署。 2.若未能在服务周期内完成合同规定的义务，由此对采购人造成的延误和一切损失，由中标人承担和赔偿。</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服务期满后根据履约验收情况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1、服务期限：自合同签订之日起1年。 2、付款方式：（1）合同签订后一个月内支付总金额的95%，服务期满后根据履约验收情况支付总金额的5%。 （2）支付方式：银行转账。 （3）结算方式：乙方在接受付款前开具全额发票给甲方。 (招标文件与此2项有异议的，以3.5其他要求为准)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提供2023年度经审计的财务报告（包括“四表 一注”即《资产负债表》《利润表》《现金流量 表》《所有者权益变动表》及其附注；成立时 间至提交磋商响应文件截止时间不足一年的可 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 会保险参保缴费情况证明，依法不需要缴纳社 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投标人对项目需求理解准确，整体架构清晰、合理，充分考虑用户实际需求，运维服务内容能够满足项目整体要求。 1、对项目需求理解深刻透彻，内容详实，对项目工作重点、难点认识准确，计5分； 2、对项目需求理解一般，内容较详实，对项目工作重点、难点认识基本准确，计3分； 3、对项目需求理解体现较差，对项目工作重点、难点认识不准确，计1分；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运行维护服务包括信息系统相关的主机设备、操作系统、服务器和存储设备及其他信息系统的运行维护与安全防范服务等，供应商根据运维服务内容进行详细描述： 1.运维方案合理、针对性强、架构清晰完整，计20分；2、运维方案较合理、针对性较强、架构比较清晰完整，计16分； 3、运维方案基本合理、针对性一般、架构基本清晰，计12分；4、运维方案具有合理性但针对性不强、架构不够清晰，计8分；5、运维方案合理性及针对性较差、架构模糊，计4分；6、未提供方案计0分。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供应商根据采购人机房环境，提供包括但不限于操作系统、数据库、中间件、虚拟化、数据备份、网络调试、网络安全、数据安全、运维调优等方面提供技术支持及咨询服务方案。 1、服务方案合理、针对性强、架构清晰完整，计15分；2、服务方案较合理、针对性较强、架构比较清晰完整，计11分；3、服务方案基本合理、针对性一般、架构基本清晰，计7分；4、服务方案具有合理性但针对性不强、架构不够清晰，计3分；5、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供应商对服务范围内设备制订应急处置方案。要评估运维中可能发生的突然状况，并制定相应的应急预案。1、应急方案合理、针对性强、架构清晰完整，计15分； 2、应急方案较合理、针对性较强、架构比较清晰完整，计11分； 3、应急方案基本合理、针对性一般、架构基本清晰，计7分； 4、应急方案具有合理性但针对性不强、架构不够清晰，计3分； 5、未提供方案计0分。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拟投入项目团队人员分工明确、配置合理，经验丰富，专业性强，项目负责人具有中级职称及以上，同时具备运维服务工程师资质（需提供相关证明）。1、人员配置合理，证明材料齐全，计5分； 2、人员配置一般，证明资料齐全度一般，计3分； 3、人员配置较弱，证明资料不全，计1分；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实施进度及计划</w:t>
            </w:r>
          </w:p>
        </w:tc>
        <w:tc>
          <w:tcPr>
            <w:tcW w:type="dxa" w:w="2492"/>
          </w:tcPr>
          <w:p>
            <w:pPr>
              <w:pStyle w:val="null3"/>
            </w:pPr>
            <w:r>
              <w:rPr>
                <w:rFonts w:ascii="仿宋_GB2312" w:hAnsi="仿宋_GB2312" w:cs="仿宋_GB2312" w:eastAsia="仿宋_GB2312"/>
              </w:rPr>
              <w:t>项目实施进度和运维服务计划安排合理，有明确的项目施工计划和项目进度安排。 1、计划合理全面、针对性强，计5分； 2、计划完整、有针对性，计3分； 3、计划不合理、不具备针对性，计1分；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服务质量保障体系</w:t>
            </w:r>
          </w:p>
        </w:tc>
        <w:tc>
          <w:tcPr>
            <w:tcW w:type="dxa" w:w="2492"/>
          </w:tcPr>
          <w:p>
            <w:pPr>
              <w:pStyle w:val="null3"/>
            </w:pPr>
            <w:r>
              <w:rPr>
                <w:rFonts w:ascii="仿宋_GB2312" w:hAnsi="仿宋_GB2312" w:cs="仿宋_GB2312" w:eastAsia="仿宋_GB2312"/>
              </w:rPr>
              <w:t>提供服务质量保障体系，包含不限于： 维保制度建设、得 2 分； 维保队伍建设、得 2 分； 服务监督机制、得 2 分； 服务承诺等服务质量管理手段及措施、得 2 分； 服务质量体系完善、科学、合理、得 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供应商针对本项目提出其他合理技术服务建议；1、建议合理全面、针对性强，计5分； 2、建议完整、有针对性，计3分； 3、建议不合理、不具备针对性，计1分；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提供2022年3月1日以来类似维保项目的业绩证明文件（即合同），评审时以响应文件中的复印件为计分依据。每出具一份业绩证明文件得2分，满分10分。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1、经初审合格的响应文件，其二次磋商报价为有效投标报价。本次投标设投标最高限价（即采购预算价）。供应商的投标总价超过招标最高限价的视为废标，不再参与下一步评审。 2、有效最低报价为基准价得10分。 3、按（有效最低报价/有效投标报价）×10的公式计算其得分。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