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版本号：STTY-2025-00420250327001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雁塔区姚家村西侧规划路（大寨西路-沣东界）市政工程EPC总承包监理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STTY-2025-004</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陕西盛泰天域项目管理有限公司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陕西盛泰天域项目管理有限公司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雁塔区姚家村西侧规划路（大寨西路-沣东界）市政工程EPC总承包监理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STTY-2025-004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雁塔区姚家村西侧规划路（大寨西路-沣东界）市政工程EPC总承包监理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新建市政道路总长度358.703m，道路等级为城市支路红线宽20m，设计速度30km/h;建设内容包含道路工程6322㎡、雨水工程主管道335m、污水工程主管208m，交通工程358.703m、照明工程 12套、电力管沟工程主线全长 360m通信主管群全长 365m等。工程概算14036200元。 招标范围：雁塔区姚家村西侧规划路（大寨西路-沣东界）市政工程EPC总承包监理，具体包括施工全过程及保修阶段的全部监理服务工作，详见磋商文件。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采购包1（雁塔区姚家村西侧规划路(大寨西路-沣东界)市政工程EPC总承包监理）：属于专门面向中小企业采购。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1、法定代表人授权委托书：法定代表人授权委托书（附法定代表人、被授权人身份证复印件）或法定代表人身份证明（法定代表人直接参加磋商，须提供法定代表人身份证明及身份证复印件）</w:t>
      </w:r>
    </w:p>
    <w:p>
      <w:pPr>
        <w:pStyle w:val="null3"/>
      </w:pPr>
      <w:r>
        <w:rPr>
          <w:rFonts w:ascii="仿宋_GB2312" w:hAnsi="仿宋_GB2312" w:cs="仿宋_GB2312" w:eastAsia="仿宋_GB2312"/>
        </w:rPr>
        <w:t>2、企业资质：供应商具备建设部门颁发的工程监理综合资质或市政公用工程专业监理乙级及以上资质；</w:t>
      </w:r>
    </w:p>
    <w:p>
      <w:pPr>
        <w:pStyle w:val="null3"/>
      </w:pPr>
      <w:r>
        <w:rPr>
          <w:rFonts w:ascii="仿宋_GB2312" w:hAnsi="仿宋_GB2312" w:cs="仿宋_GB2312" w:eastAsia="仿宋_GB2312"/>
        </w:rPr>
        <w:t>3、项目总监理工程师资格要求：供应商拟派项目总监理工程师具备有效的市政公用工程专业国家注册监理工程师资格，在本单位注册，如拟派项目总监理工程师有在监项目，不得超过 2 个（含 2 个），且须出具在监项目建设单位书面同意书；</w:t>
      </w:r>
    </w:p>
    <w:p>
      <w:pPr>
        <w:pStyle w:val="null3"/>
      </w:pPr>
      <w:r>
        <w:rPr>
          <w:rFonts w:ascii="仿宋_GB2312" w:hAnsi="仿宋_GB2312" w:cs="仿宋_GB2312" w:eastAsia="仿宋_GB2312"/>
        </w:rPr>
        <w:t>4、供应商基本信息：供应商及拟派项目总监理工程师的资格信息在“西安市公共资源交易中心工程建设交易平台”或“全国建筑市场监管公共服务平台”可查询。</w:t>
      </w:r>
    </w:p>
    <w:p>
      <w:pPr>
        <w:pStyle w:val="null3"/>
      </w:pPr>
      <w:r>
        <w:rPr>
          <w:rFonts w:ascii="仿宋_GB2312" w:hAnsi="仿宋_GB2312" w:cs="仿宋_GB2312" w:eastAsia="仿宋_GB2312"/>
        </w:rPr>
        <w:t>5、声明函：本项目不接受联合体投标；单位负责人为同一人或者存在控股、管理关系的不同单位，不得参加同一项目的投标；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6、本采购包专门面向中小企业采购：参与的供应商全部为符合政策要求的中小企业。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赵晓波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029-85268414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陕西盛泰天域项目管理有限公司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陕西省西安市经济技术开发区明光路天朗经开中心21楼12104室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崔亚丽、王雪阳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029-81312183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采购包1：358,100.00元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代理服务费收费标准：成交供应商在领取《成交通知书》之前，向采购代理机构一次付清招标代理服务费。采购代理服务费参照计价格【2002】1980号文规定的取费基准价计取。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陕西盛泰天域项目管理有限公司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陕西盛泰天域项目管理有限公司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陕西盛泰天域项目管理有限公司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联系人：祁亚娟</w:t>
      </w:r>
    </w:p>
    <w:p>
      <w:pPr>
        <w:pStyle w:val="null3"/>
      </w:pPr>
      <w:r>
        <w:rPr>
          <w:rFonts w:ascii="仿宋_GB2312" w:hAnsi="仿宋_GB2312" w:cs="仿宋_GB2312" w:eastAsia="仿宋_GB2312"/>
        </w:rPr>
        <w:t>联系电话：029-81312183</w:t>
      </w:r>
    </w:p>
    <w:p>
      <w:pPr>
        <w:pStyle w:val="null3"/>
      </w:pPr>
      <w:r>
        <w:rPr>
          <w:rFonts w:ascii="仿宋_GB2312" w:hAnsi="仿宋_GB2312" w:cs="仿宋_GB2312" w:eastAsia="仿宋_GB2312"/>
        </w:rPr>
        <w:t>地址：陕西省西安市经济技术开发区明光路天朗经开中心21楼12104室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新建市政道路总长度358.703m，道路等级为城市支路红线宽20m，设计速度30km/h;建设内容包含道路工程6322㎡、雨水工程主管道335m、污水工程主管208m，交通工程358.703m、照明工程 12套、电力管沟工程主线全长 360m通信主管群全长 365m等。工程概算14036200元。 招标范围：雁塔区姚家村西侧规划路（大寨西路-沣东界）市政工程EPC总承包监理，具体包括施工全过程及保修阶段的全部监理服务工作，详见磋商文件。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358,100.00</w:t>
      </w:r>
    </w:p>
    <w:p>
      <w:pPr>
        <w:pStyle w:val="null3"/>
      </w:pPr>
      <w:r>
        <w:rPr>
          <w:rFonts w:ascii="仿宋_GB2312" w:hAnsi="仿宋_GB2312" w:cs="仿宋_GB2312" w:eastAsia="仿宋_GB2312"/>
        </w:rPr>
        <w:t>采购包最高限价（元）: 322,290.00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雁塔区姚家村西侧规划路（大寨西路-沣东界）市政工程EPC总承包监理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358,100.00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标的名称：雁塔区姚家村西侧规划路（大寨西路-沣东界）市政工程EPC总承包监理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1.本项目监理涉及的相关规范和依据（不限于以下内容）：</w:t>
            </w:r>
          </w:p>
          <w:p>
            <w:pPr>
              <w:pStyle w:val="null3"/>
            </w:pPr>
            <w:r>
              <w:rPr>
                <w:rFonts w:ascii="仿宋_GB2312" w:hAnsi="仿宋_GB2312" w:cs="仿宋_GB2312" w:eastAsia="仿宋_GB2312"/>
              </w:rPr>
              <w:t>（1) 《建设工程监理规范》                  GB/T50319-2013</w:t>
            </w:r>
          </w:p>
          <w:p>
            <w:pPr>
              <w:pStyle w:val="null3"/>
            </w:pPr>
            <w:r>
              <w:rPr>
                <w:rFonts w:ascii="仿宋_GB2312" w:hAnsi="仿宋_GB2312" w:cs="仿宋_GB2312" w:eastAsia="仿宋_GB2312"/>
              </w:rPr>
              <w:t>（2) 《建筑地基处理技术规范》              JCJ 79-20123）</w:t>
            </w:r>
          </w:p>
          <w:p>
            <w:pPr>
              <w:pStyle w:val="null3"/>
            </w:pPr>
            <w:r>
              <w:rPr>
                <w:rFonts w:ascii="仿宋_GB2312" w:hAnsi="仿宋_GB2312" w:cs="仿宋_GB2312" w:eastAsia="仿宋_GB2312"/>
              </w:rPr>
              <w:t>（3）《城镇道路工程施工与质量验收规范》    CJJ 1-2008</w:t>
            </w:r>
          </w:p>
          <w:p>
            <w:pPr>
              <w:pStyle w:val="null3"/>
            </w:pPr>
            <w:r>
              <w:rPr>
                <w:rFonts w:ascii="仿宋_GB2312" w:hAnsi="仿宋_GB2312" w:cs="仿宋_GB2312" w:eastAsia="仿宋_GB2312"/>
              </w:rPr>
              <w:t>（4) 《建设工程监理规范》                  GB/T50319-2013</w:t>
            </w:r>
          </w:p>
          <w:p>
            <w:pPr>
              <w:pStyle w:val="null3"/>
            </w:pPr>
            <w:r>
              <w:rPr>
                <w:rFonts w:ascii="仿宋_GB2312" w:hAnsi="仿宋_GB2312" w:cs="仿宋_GB2312" w:eastAsia="仿宋_GB2312"/>
              </w:rPr>
              <w:t>（5) 《建筑地基处理技术规范》              JCJ 79-20123）</w:t>
            </w:r>
          </w:p>
          <w:p>
            <w:pPr>
              <w:pStyle w:val="null3"/>
            </w:pPr>
            <w:r>
              <w:rPr>
                <w:rFonts w:ascii="仿宋_GB2312" w:hAnsi="仿宋_GB2312" w:cs="仿宋_GB2312" w:eastAsia="仿宋_GB2312"/>
              </w:rPr>
              <w:t>（6）《城镇道路工程施工与质量验收规范》    CJJ 1-2008</w:t>
            </w:r>
          </w:p>
          <w:p>
            <w:pPr>
              <w:pStyle w:val="null3"/>
            </w:pPr>
            <w:r>
              <w:rPr>
                <w:rFonts w:ascii="仿宋_GB2312" w:hAnsi="仿宋_GB2312" w:cs="仿宋_GB2312" w:eastAsia="仿宋_GB2312"/>
              </w:rPr>
              <w:t>（7) 《建设工程监理规范》                  GB/T50319-2013</w:t>
            </w:r>
          </w:p>
          <w:p>
            <w:pPr>
              <w:pStyle w:val="null3"/>
            </w:pPr>
            <w:r>
              <w:rPr>
                <w:rFonts w:ascii="仿宋_GB2312" w:hAnsi="仿宋_GB2312" w:cs="仿宋_GB2312" w:eastAsia="仿宋_GB2312"/>
              </w:rPr>
              <w:t>（8) 《建筑地基处理技术规范》              JCJ 79-20123）</w:t>
            </w:r>
          </w:p>
          <w:p>
            <w:pPr>
              <w:pStyle w:val="null3"/>
            </w:pPr>
            <w:r>
              <w:rPr>
                <w:rFonts w:ascii="仿宋_GB2312" w:hAnsi="仿宋_GB2312" w:cs="仿宋_GB2312" w:eastAsia="仿宋_GB2312"/>
              </w:rPr>
              <w:t>（9）《城镇道路工程施工与质量验收规范》    CJJ 1-2008</w:t>
            </w:r>
          </w:p>
          <w:p>
            <w:pPr>
              <w:pStyle w:val="null3"/>
            </w:pPr>
            <w:r>
              <w:rPr>
                <w:rFonts w:ascii="仿宋_GB2312" w:hAnsi="仿宋_GB2312" w:cs="仿宋_GB2312" w:eastAsia="仿宋_GB2312"/>
              </w:rPr>
              <w:t>（10) 《建设工程监理规范》                  GB/T50319-2013</w:t>
            </w:r>
          </w:p>
          <w:p>
            <w:pPr>
              <w:pStyle w:val="null3"/>
            </w:pPr>
            <w:r>
              <w:rPr>
                <w:rFonts w:ascii="仿宋_GB2312" w:hAnsi="仿宋_GB2312" w:cs="仿宋_GB2312" w:eastAsia="仿宋_GB2312"/>
              </w:rPr>
              <w:t>（11) 《建筑地基处理技术规范》              JCJ 79-20123）</w:t>
            </w:r>
          </w:p>
          <w:p>
            <w:pPr>
              <w:pStyle w:val="null3"/>
            </w:pPr>
            <w:r>
              <w:rPr>
                <w:rFonts w:ascii="仿宋_GB2312" w:hAnsi="仿宋_GB2312" w:cs="仿宋_GB2312" w:eastAsia="仿宋_GB2312"/>
              </w:rPr>
              <w:t>（12）《城镇道路工程施工与质量验收规范》    CJJ 1-2008</w:t>
            </w:r>
          </w:p>
          <w:p>
            <w:pPr>
              <w:pStyle w:val="null3"/>
            </w:pPr>
            <w:r>
              <w:rPr>
                <w:rFonts w:ascii="仿宋_GB2312" w:hAnsi="仿宋_GB2312" w:cs="仿宋_GB2312" w:eastAsia="仿宋_GB2312"/>
              </w:rPr>
              <w:t>（13) 《建设工程监理规范》                  GB/T50319-2013</w:t>
            </w:r>
          </w:p>
          <w:p>
            <w:pPr>
              <w:pStyle w:val="null3"/>
            </w:pPr>
            <w:r>
              <w:rPr>
                <w:rFonts w:ascii="仿宋_GB2312" w:hAnsi="仿宋_GB2312" w:cs="仿宋_GB2312" w:eastAsia="仿宋_GB2312"/>
              </w:rPr>
              <w:t>（14) 《建筑地基处理技术规范》              JCJ 79-20123）</w:t>
            </w:r>
          </w:p>
          <w:p>
            <w:pPr>
              <w:pStyle w:val="null3"/>
            </w:pPr>
            <w:r>
              <w:rPr>
                <w:rFonts w:ascii="仿宋_GB2312" w:hAnsi="仿宋_GB2312" w:cs="仿宋_GB2312" w:eastAsia="仿宋_GB2312"/>
              </w:rPr>
              <w:t>（15）《城镇道路工程施工与质量验收规范》    CJJ 1-2008</w:t>
            </w:r>
          </w:p>
          <w:p>
            <w:pPr>
              <w:pStyle w:val="null3"/>
            </w:pPr>
            <w:r>
              <w:rPr>
                <w:rFonts w:ascii="仿宋_GB2312" w:hAnsi="仿宋_GB2312" w:cs="仿宋_GB2312" w:eastAsia="仿宋_GB2312"/>
              </w:rPr>
              <w:t>（16) 《建设工程监理规范》                  GB/T50319-2013</w:t>
            </w:r>
          </w:p>
          <w:p>
            <w:pPr>
              <w:pStyle w:val="null3"/>
            </w:pPr>
            <w:r>
              <w:rPr>
                <w:rFonts w:ascii="仿宋_GB2312" w:hAnsi="仿宋_GB2312" w:cs="仿宋_GB2312" w:eastAsia="仿宋_GB2312"/>
              </w:rPr>
              <w:t>（17) 《建筑地基处理技术规范》              JCJ 79-20123）</w:t>
            </w:r>
          </w:p>
          <w:p>
            <w:pPr>
              <w:pStyle w:val="null3"/>
            </w:pPr>
            <w:r>
              <w:rPr>
                <w:rFonts w:ascii="仿宋_GB2312" w:hAnsi="仿宋_GB2312" w:cs="仿宋_GB2312" w:eastAsia="仿宋_GB2312"/>
              </w:rPr>
              <w:t>（18）《城镇道路工程施工与质量验收规范》    CJJ 1-2008</w:t>
            </w:r>
          </w:p>
          <w:p>
            <w:pPr>
              <w:pStyle w:val="null3"/>
            </w:pPr>
            <w:r>
              <w:rPr>
                <w:rFonts w:ascii="仿宋_GB2312" w:hAnsi="仿宋_GB2312" w:cs="仿宋_GB2312" w:eastAsia="仿宋_GB2312"/>
              </w:rPr>
              <w:t>（19) 《建设工程监理规范》                  GB/T50319-2013</w:t>
            </w:r>
          </w:p>
          <w:p>
            <w:pPr>
              <w:pStyle w:val="null3"/>
            </w:pPr>
            <w:r>
              <w:rPr>
                <w:rFonts w:ascii="仿宋_GB2312" w:hAnsi="仿宋_GB2312" w:cs="仿宋_GB2312" w:eastAsia="仿宋_GB2312"/>
              </w:rPr>
              <w:t>（20) 《建筑地基处理技术规范》              JCJ 79-20123）</w:t>
            </w:r>
          </w:p>
          <w:p>
            <w:pPr>
              <w:pStyle w:val="null3"/>
            </w:pPr>
            <w:r>
              <w:rPr>
                <w:rFonts w:ascii="仿宋_GB2312" w:hAnsi="仿宋_GB2312" w:cs="仿宋_GB2312" w:eastAsia="仿宋_GB2312"/>
              </w:rPr>
              <w:t>（21）《城镇道路工程施工与质量验收规范》    CJJ 1-2008</w:t>
            </w:r>
          </w:p>
          <w:p>
            <w:pPr>
              <w:pStyle w:val="null3"/>
            </w:pPr>
            <w:r>
              <w:rPr>
                <w:rFonts w:ascii="仿宋_GB2312" w:hAnsi="仿宋_GB2312" w:cs="仿宋_GB2312" w:eastAsia="仿宋_GB2312"/>
              </w:rPr>
              <w:t>（22) 《建设工程监理规范》                  GB/T50319-2013</w:t>
            </w:r>
          </w:p>
          <w:p>
            <w:pPr>
              <w:pStyle w:val="null3"/>
            </w:pPr>
            <w:r>
              <w:rPr>
                <w:rFonts w:ascii="仿宋_GB2312" w:hAnsi="仿宋_GB2312" w:cs="仿宋_GB2312" w:eastAsia="仿宋_GB2312"/>
              </w:rPr>
              <w:t>（23) 《建筑地基处理技术规范》              JCJ 79-20123）</w:t>
            </w:r>
          </w:p>
          <w:p>
            <w:pPr>
              <w:pStyle w:val="null3"/>
            </w:pPr>
            <w:r>
              <w:rPr>
                <w:rFonts w:ascii="仿宋_GB2312" w:hAnsi="仿宋_GB2312" w:cs="仿宋_GB2312" w:eastAsia="仿宋_GB2312"/>
              </w:rPr>
              <w:t>（24）《城镇道路工程施工与质量验收规范》    CJJ 1-2008</w:t>
            </w:r>
          </w:p>
          <w:p>
            <w:pPr>
              <w:pStyle w:val="null3"/>
            </w:pPr>
            <w:r>
              <w:rPr>
                <w:rFonts w:ascii="仿宋_GB2312" w:hAnsi="仿宋_GB2312" w:cs="仿宋_GB2312" w:eastAsia="仿宋_GB2312"/>
              </w:rPr>
              <w:t>（25) 《建设工程监理规范》                  GB/T50319-2013</w:t>
            </w:r>
          </w:p>
          <w:p>
            <w:pPr>
              <w:pStyle w:val="null3"/>
            </w:pPr>
            <w:r>
              <w:rPr>
                <w:rFonts w:ascii="仿宋_GB2312" w:hAnsi="仿宋_GB2312" w:cs="仿宋_GB2312" w:eastAsia="仿宋_GB2312"/>
              </w:rPr>
              <w:t>（26) 《建筑地基处理技术规范》              JCJ 79-20123）</w:t>
            </w:r>
          </w:p>
          <w:p>
            <w:pPr>
              <w:pStyle w:val="null3"/>
            </w:pPr>
            <w:r>
              <w:rPr>
                <w:rFonts w:ascii="仿宋_GB2312" w:hAnsi="仿宋_GB2312" w:cs="仿宋_GB2312" w:eastAsia="仿宋_GB2312"/>
                <w:b/>
              </w:rPr>
              <w:t>备注：凡涉及的相关规范，国家有最新标准的以最新</w:t>
            </w:r>
            <w:r>
              <w:rPr>
                <w:rFonts w:ascii="仿宋_GB2312" w:hAnsi="仿宋_GB2312" w:cs="仿宋_GB2312" w:eastAsia="仿宋_GB2312"/>
                <w:b/>
              </w:rPr>
              <w:t>标准为准。</w:t>
            </w:r>
          </w:p>
          <w:p>
            <w:pPr>
              <w:pStyle w:val="null3"/>
            </w:pPr>
            <w:r>
              <w:rPr>
                <w:rFonts w:ascii="仿宋_GB2312" w:hAnsi="仿宋_GB2312" w:cs="仿宋_GB2312" w:eastAsia="仿宋_GB2312"/>
              </w:rPr>
              <w:t>2.除合同另有约定外，本工程适用现行国家、省、市、行业和地方规范、标准和规程，规范、标准和规程如发生不一致时，则以要求最为严格的规范、规程或标准作为工作依据。</w:t>
            </w:r>
          </w:p>
          <w:p>
            <w:pPr>
              <w:pStyle w:val="null3"/>
            </w:pPr>
            <w:r>
              <w:rPr>
                <w:rFonts w:ascii="仿宋_GB2312" w:hAnsi="仿宋_GB2312" w:cs="仿宋_GB2312" w:eastAsia="仿宋_GB2312"/>
              </w:rPr>
              <w:t>3.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1.1质量要求：合格 1.2服务、产品（如有）执行的标准、规范： （1）国家标准、规范； （2）行业标准、规范；（3）地方标准、规范； （4）团体标准、规范； （5）企业标准、规范。 1.3本章4.2条款未明确服务（产品）执行标准、规范的，按下列方法进行选择： □ 顺序执行：国家标准→行业标准→地方标准→团体标准→企业标准（有国家标准按国家标准执行，没有国家标准按行业标准，以此类推）； □ 最高标准执行：国家标准，行业标准，地方标准，团体标准，企业标准（哪个标准高执行哪个标准） ☑ 必须执行：国家（行业）强制性标准。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180日历天，与施工工期一致。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根据合同要求进行验收，验收依据为合同文本、竞争性磋商文件、响应文件；（2）验收合格后，填写验收单，并向采购人提交所有资料，以便使用单位日后管理和维护；（3）验收过程中所产生的费用由供应商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本项目预付款10%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工程形象进度完成60%支付合同价的60%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竣工验收合格后累计支付至合同价的100％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合同争议的最终解决方式为向 委托人所在地 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响应文件截止时间一年内至少一个月的依法缴纳税收的相关凭据（时间以税款所属日期为准、税种须至少包含增值税或企业所得税），凭据应有税务机关或代收机关的公章或业务专用章。依法免税或无须缴纳税收的供应商，应提供相应证明文件； 4、社会保障资金缴纳证明：提供响应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法定代表人授权委托书（附法定代表人、被授权人身份证复印件）或法定代表人身份证明（法定代表人直接参加磋商，须提供法定代表人身份证明及身份证复印件）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供应商具备建设部门颁发的工程监理综合资质或市政公用工程专业监理乙级及以上资质；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项目总监理工程师资格要求</w:t>
            </w:r>
          </w:p>
        </w:tc>
        <w:tc>
          <w:tcPr>
            <w:tcW w:type="dxa" w:w="3322"/>
          </w:tcPr>
          <w:p>
            <w:pPr>
              <w:pStyle w:val="null3"/>
            </w:pPr>
            <w:r>
              <w:rPr>
                <w:rFonts w:ascii="仿宋_GB2312" w:hAnsi="仿宋_GB2312" w:cs="仿宋_GB2312" w:eastAsia="仿宋_GB2312"/>
              </w:rPr>
              <w:t>供应商拟派项目总监理工程师具备有效的市政公用工程专业国家注册监理工程师资格，在本单位注册，如拟派项目总监理工程师有在监项目，不得超过 2 个（含 2 个），且须出具在监项目建设单位书面同意书；</w:t>
            </w:r>
          </w:p>
        </w:tc>
        <w:tc>
          <w:tcPr>
            <w:tcW w:type="dxa" w:w="1661"/>
          </w:tcPr>
          <w:p>
            <w:pPr>
              <w:pStyle w:val="null3"/>
            </w:pPr>
            <w:r>
              <w:rPr>
                <w:rFonts w:ascii="仿宋_GB2312" w:hAnsi="仿宋_GB2312" w:cs="仿宋_GB2312" w:eastAsia="仿宋_GB2312"/>
              </w:rPr>
              <w:t>服务方案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供应商及拟派项目总监理工程师的资格信息在“西安市公共资源交易中心工程建设交易平台”或“全国建筑市场监管公共服务平台”可查询。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磋商响应文件完整且编排有序，响应内容基本完整，无重大错漏；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中小企业声明函 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监理大纲1</w:t>
            </w:r>
          </w:p>
        </w:tc>
        <w:tc>
          <w:tcPr>
            <w:tcW w:type="dxa" w:w="2492"/>
          </w:tcPr>
          <w:p>
            <w:pPr>
              <w:pStyle w:val="null3"/>
            </w:pPr>
            <w:r>
              <w:rPr>
                <w:rFonts w:ascii="仿宋_GB2312" w:hAnsi="仿宋_GB2312" w:cs="仿宋_GB2312" w:eastAsia="仿宋_GB2312"/>
              </w:rPr>
              <w:t>监理工作目标明确、工作程序和工作制度齐全计(7.0～10]分，监理工作目标较明确、工作程序和工作制度较齐全计(3.0～7.0]分；监理工作目标不明确、工作程序和工作制度不健全计(0～3.0]分；不提供不得分。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监理大纲2</w:t>
            </w:r>
          </w:p>
        </w:tc>
        <w:tc>
          <w:tcPr>
            <w:tcW w:type="dxa" w:w="2492"/>
          </w:tcPr>
          <w:p>
            <w:pPr>
              <w:pStyle w:val="null3"/>
            </w:pPr>
            <w:r>
              <w:rPr>
                <w:rFonts w:ascii="仿宋_GB2312" w:hAnsi="仿宋_GB2312" w:cs="仿宋_GB2312" w:eastAsia="仿宋_GB2312"/>
              </w:rPr>
              <w:t>项目监理机构组织完善、合理计(7.0～10]分，项目监理机构组织较完善、较合理计(3.0～7.0]分，项目监理机构组织不完善、不合理计(0～3.0]分；不提供不得分。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监理大纲3</w:t>
            </w:r>
          </w:p>
        </w:tc>
        <w:tc>
          <w:tcPr>
            <w:tcW w:type="dxa" w:w="2492"/>
          </w:tcPr>
          <w:p>
            <w:pPr>
              <w:pStyle w:val="null3"/>
            </w:pPr>
            <w:r>
              <w:rPr>
                <w:rFonts w:ascii="仿宋_GB2312" w:hAnsi="仿宋_GB2312" w:cs="仿宋_GB2312" w:eastAsia="仿宋_GB2312"/>
              </w:rPr>
              <w:t>安全防护控制措施、环境保护、文明施工控制措施完善、合理、可行计(7.0～10]分，较完善、较合理计(3.0～7.0]分，措施一般、可行性较差计(0～3.0]分；不提供不得分。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监理大纲4</w:t>
            </w:r>
          </w:p>
        </w:tc>
        <w:tc>
          <w:tcPr>
            <w:tcW w:type="dxa" w:w="2492"/>
          </w:tcPr>
          <w:p>
            <w:pPr>
              <w:pStyle w:val="null3"/>
            </w:pPr>
            <w:r>
              <w:rPr>
                <w:rFonts w:ascii="仿宋_GB2312" w:hAnsi="仿宋_GB2312" w:cs="仿宋_GB2312" w:eastAsia="仿宋_GB2312"/>
              </w:rPr>
              <w:t xml:space="preserve"> 合同管理、信息管理措施的全面合理性，科学合理得(7.0～10]分，较科学合理得(3.0～7.0]分，一般科学合理得(0～3.0]分；不提供不得分。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监理大纲5</w:t>
            </w:r>
          </w:p>
        </w:tc>
        <w:tc>
          <w:tcPr>
            <w:tcW w:type="dxa" w:w="2492"/>
          </w:tcPr>
          <w:p>
            <w:pPr>
              <w:pStyle w:val="null3"/>
            </w:pPr>
            <w:r>
              <w:rPr>
                <w:rFonts w:ascii="仿宋_GB2312" w:hAnsi="仿宋_GB2312" w:cs="仿宋_GB2312" w:eastAsia="仿宋_GB2312"/>
              </w:rPr>
              <w:t>施工中各种矛盾组织协调及保修阶段的服务工作的保修阶段监理服务工作计划，根据矛盾分析、化解措施及保修阶段监理服务计划的完整性得(7.0～10]分，较完整得(3.0～7.0]分，一般完整得(0～3.0]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监理大纲6</w:t>
            </w:r>
          </w:p>
        </w:tc>
        <w:tc>
          <w:tcPr>
            <w:tcW w:type="dxa" w:w="2492"/>
          </w:tcPr>
          <w:p>
            <w:pPr>
              <w:pStyle w:val="null3"/>
            </w:pPr>
            <w:r>
              <w:rPr>
                <w:rFonts w:ascii="仿宋_GB2312" w:hAnsi="仿宋_GB2312" w:cs="仿宋_GB2312" w:eastAsia="仿宋_GB2312"/>
              </w:rPr>
              <w:t>质量、安全、进度控制管理措施完善、合理、可行计(7.0～10]分，较完善、较合理、可行计(3.0～7.0]分，一般完善、合理、可行计(0～3.0]分；不提供不得分。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监理大纲7</w:t>
            </w:r>
          </w:p>
        </w:tc>
        <w:tc>
          <w:tcPr>
            <w:tcW w:type="dxa" w:w="2492"/>
          </w:tcPr>
          <w:p>
            <w:pPr>
              <w:pStyle w:val="null3"/>
            </w:pPr>
            <w:r>
              <w:rPr>
                <w:rFonts w:ascii="仿宋_GB2312" w:hAnsi="仿宋_GB2312" w:cs="仿宋_GB2312" w:eastAsia="仿宋_GB2312"/>
              </w:rPr>
              <w:t>本工程重点、难点部位的监理措施，重点部位的控制方法和旁站监理部位清单清晰明了计(7.0～10]分，措施、清单较完善合理计(3.0～7.0]分，措施、清单不清晰，不明了计(0～3.0]分；不提供不得分。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提供2020年1月1日起至今拟派总监理工程师或企业类似项目业绩的，每提供一项业绩得2.5分，最高得5分；企业业绩与总监理工程师业绩为同一项目的按一项业绩计算，未提供不得分。 注：1、提供拟派总监理工程师业绩的，证明材料时间以监理合同签订时间或中标通知书为准；两者均提供以监理合同签订时间为准，证明材料须显示拟派总监理工程师姓名。 2、提供企业业绩的，证明材料时间以监理合同签订时间或中标通知书为准，两者均提供以监理合同签订时间为准。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派驻现场的监理主要监理人员配置齐全、人员素质高，计(7.0～10]分；投标人派驻现场的监理主要监理人员配置基本齐全、人员素质一般，计(3.0～7.0]分；投标人派驻现场的监理主要监理人员配置少、人员素质较差，计(0～3.0]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磋商文件内容要求作出相关服务承诺，包括但不限于服务质量承诺、监理服务期限承诺，问题处理时限，现场监理服务质量保证措施等。具有详细服务承诺内容，承诺内容清楚、条理清晰、内容详实具体得（3-5】分；具有服务承诺内容，但承诺内容模糊、条理不明确、内容不详实得（1-3 】分；不提供不得分。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磋商报价</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