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F1653">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3A60A8A5">
      <w:pPr>
        <w:pStyle w:val="18"/>
        <w:ind w:firstLine="480"/>
        <w:rPr>
          <w:rFonts w:hint="eastAsia"/>
          <w:sz w:val="22"/>
          <w:szCs w:val="22"/>
          <w:lang w:val="en-US" w:eastAsia="zh-CN"/>
        </w:rPr>
      </w:pPr>
      <w:r>
        <w:rPr>
          <w:rFonts w:hint="eastAsia"/>
          <w:sz w:val="22"/>
          <w:szCs w:val="22"/>
          <w:lang w:val="en-US" w:eastAsia="zh-CN"/>
        </w:rPr>
        <w:t>1、营业执照等主体资格证明文件：提供有效存续的企业营业执照（副本）/事业单位法人证书/专业服务机构执业许可证/民办非企业单位登记证书。</w:t>
      </w:r>
    </w:p>
    <w:p w14:paraId="0AE98BBE">
      <w:pPr>
        <w:pStyle w:val="18"/>
        <w:ind w:firstLine="480"/>
        <w:rPr>
          <w:rFonts w:hint="eastAsia"/>
          <w:sz w:val="22"/>
          <w:szCs w:val="22"/>
          <w:lang w:val="en-US" w:eastAsia="zh-CN"/>
        </w:rPr>
      </w:pPr>
      <w:r>
        <w:rPr>
          <w:rFonts w:hint="eastAsia"/>
          <w:sz w:val="22"/>
          <w:szCs w:val="22"/>
          <w:lang w:val="en-US" w:eastAsia="zh-CN"/>
        </w:rPr>
        <w:t>2、供应商具备建设工程质量检测机构资质证书（检测范围含市政道路相关检测内容）及与检测资质相对应的计量认证（CMA认证）证书且在有效期之内，检验检测能力附表有相应检测项目；</w:t>
      </w:r>
    </w:p>
    <w:p w14:paraId="62B7DEEB">
      <w:pPr>
        <w:pStyle w:val="18"/>
        <w:ind w:firstLine="480"/>
        <w:rPr>
          <w:rFonts w:hint="eastAsia"/>
          <w:sz w:val="22"/>
          <w:szCs w:val="22"/>
          <w:lang w:val="en-US" w:eastAsia="zh-CN"/>
        </w:rPr>
      </w:pPr>
      <w:r>
        <w:rPr>
          <w:rFonts w:hint="eastAsia"/>
          <w:sz w:val="22"/>
          <w:szCs w:val="22"/>
          <w:lang w:val="en-US" w:eastAsia="zh-CN"/>
        </w:rPr>
        <w:t>3、财务状况报告：提供2024年度或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4F0351D0">
      <w:pPr>
        <w:pStyle w:val="18"/>
        <w:ind w:firstLine="480"/>
        <w:rPr>
          <w:rFonts w:hint="eastAsia"/>
          <w:sz w:val="22"/>
          <w:szCs w:val="22"/>
          <w:lang w:val="en-US" w:eastAsia="zh-CN"/>
        </w:rPr>
      </w:pPr>
      <w:r>
        <w:rPr>
          <w:rFonts w:hint="eastAsia"/>
          <w:sz w:val="22"/>
          <w:szCs w:val="22"/>
          <w:lang w:val="en-US" w:eastAsia="zh-CN"/>
        </w:rPr>
        <w:t>4、书面声明：提供书面声明，包括声明具有履行合同所必需的设备和专业技术能力；未为本项目提供整体设计、规范编制或者项目管理、监理、检测等服务。</w:t>
      </w:r>
    </w:p>
    <w:p w14:paraId="02F72B22">
      <w:pPr>
        <w:pStyle w:val="18"/>
        <w:ind w:firstLine="480"/>
        <w:rPr>
          <w:rFonts w:hint="eastAsia"/>
          <w:sz w:val="22"/>
          <w:szCs w:val="22"/>
          <w:lang w:val="en-US" w:eastAsia="zh-CN"/>
        </w:rPr>
      </w:pPr>
      <w:r>
        <w:rPr>
          <w:rFonts w:hint="eastAsia"/>
          <w:sz w:val="22"/>
          <w:szCs w:val="22"/>
          <w:lang w:val="en-US" w:eastAsia="zh-CN"/>
        </w:rPr>
        <w:t>5、社保缴纳证明：提供递交响应文件截止之日前一年内任意一个月的社会保障资金缴存单据或社保机构开具的社会保险参保缴费情况证明。依法不需要缴纳社会保障资金的供应商应提供相关文件证明。</w:t>
      </w:r>
    </w:p>
    <w:p w14:paraId="39B45C7B">
      <w:pPr>
        <w:pStyle w:val="18"/>
        <w:ind w:firstLine="480"/>
        <w:rPr>
          <w:rFonts w:hint="eastAsia"/>
          <w:sz w:val="22"/>
          <w:szCs w:val="22"/>
          <w:lang w:val="en-US" w:eastAsia="zh-CN"/>
        </w:rPr>
      </w:pPr>
      <w:r>
        <w:rPr>
          <w:rFonts w:hint="eastAsia"/>
          <w:sz w:val="22"/>
          <w:szCs w:val="22"/>
          <w:lang w:val="en-US" w:eastAsia="zh-CN"/>
        </w:rPr>
        <w:t>6、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14:paraId="57443592">
      <w:pPr>
        <w:pStyle w:val="18"/>
        <w:ind w:firstLine="480"/>
        <w:rPr>
          <w:rFonts w:hint="eastAsia"/>
          <w:sz w:val="22"/>
          <w:szCs w:val="22"/>
          <w:lang w:val="en-US" w:eastAsia="zh-CN"/>
        </w:rPr>
      </w:pPr>
      <w:r>
        <w:rPr>
          <w:rFonts w:hint="eastAsia"/>
          <w:sz w:val="22"/>
          <w:szCs w:val="22"/>
          <w:lang w:val="en-US" w:eastAsia="zh-CN"/>
        </w:rPr>
        <w:t>7、近三年无重大违法、违纪书面声明：提供《近三年无重大违法、违纪书面声明》。</w:t>
      </w:r>
    </w:p>
    <w:p w14:paraId="525678CF">
      <w:pPr>
        <w:pStyle w:val="18"/>
        <w:ind w:firstLine="480"/>
        <w:rPr>
          <w:rFonts w:hint="eastAsia"/>
          <w:sz w:val="22"/>
          <w:szCs w:val="22"/>
          <w:lang w:val="en-US" w:eastAsia="zh-CN"/>
        </w:rPr>
      </w:pPr>
      <w:r>
        <w:rPr>
          <w:rFonts w:hint="eastAsia"/>
          <w:sz w:val="22"/>
          <w:szCs w:val="22"/>
          <w:lang w:val="en-US" w:eastAsia="zh-CN"/>
        </w:rPr>
        <w:t>8、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14:paraId="5FCA1197">
      <w:pPr>
        <w:pStyle w:val="18"/>
        <w:ind w:firstLine="480"/>
        <w:rPr>
          <w:rFonts w:hint="eastAsia"/>
          <w:sz w:val="22"/>
          <w:szCs w:val="22"/>
          <w:lang w:val="en-US" w:eastAsia="zh-CN"/>
        </w:rPr>
      </w:pPr>
      <w:r>
        <w:rPr>
          <w:rFonts w:hint="eastAsia"/>
          <w:sz w:val="22"/>
          <w:szCs w:val="22"/>
          <w:lang w:val="en-US" w:eastAsia="zh-CN"/>
        </w:rPr>
        <w:t>9、控股管理关系：提供直接控股和管理关系清单。若与其他供应商存在单位负责人为同一人或者存在直接控股、管理关系的，则响应无效。</w:t>
      </w:r>
    </w:p>
    <w:p w14:paraId="1A372873">
      <w:pPr>
        <w:pStyle w:val="18"/>
        <w:ind w:firstLine="480"/>
        <w:rPr>
          <w:rFonts w:hint="eastAsia"/>
          <w:sz w:val="22"/>
          <w:szCs w:val="22"/>
          <w:lang w:val="en-US" w:eastAsia="zh-CN"/>
        </w:rPr>
      </w:pPr>
      <w:r>
        <w:rPr>
          <w:rFonts w:hint="eastAsia"/>
          <w:sz w:val="22"/>
          <w:szCs w:val="22"/>
          <w:lang w:val="en-US" w:eastAsia="zh-CN"/>
        </w:rPr>
        <w:t>10、法定代表人授权委托书：法定代表人参加磋商的，须提供本人身份证复印件（附在资格证明文件中）；法定代表人授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14:paraId="665B96CD">
      <w:pPr>
        <w:pStyle w:val="18"/>
        <w:ind w:firstLine="480"/>
        <w:rPr>
          <w:rFonts w:hint="eastAsia"/>
          <w:sz w:val="22"/>
          <w:szCs w:val="22"/>
          <w:lang w:val="en-US" w:eastAsia="zh-CN"/>
        </w:rPr>
      </w:pPr>
      <w:r>
        <w:rPr>
          <w:rFonts w:hint="eastAsia"/>
          <w:sz w:val="22"/>
          <w:szCs w:val="22"/>
          <w:lang w:val="en-US" w:eastAsia="zh-CN"/>
        </w:rPr>
        <w:t>11、本项目不接受联合体磋商，不允许分包：供应商应提供《非联合体不分包磋商声明》，视为独立磋商，不分包。</w:t>
      </w:r>
    </w:p>
    <w:p w14:paraId="19317513">
      <w:pPr>
        <w:pStyle w:val="18"/>
        <w:ind w:firstLine="480"/>
        <w:rPr>
          <w:rFonts w:hint="eastAsia"/>
          <w:sz w:val="22"/>
          <w:szCs w:val="22"/>
          <w:lang w:val="en-US" w:eastAsia="zh-CN"/>
        </w:rPr>
      </w:pPr>
      <w:bookmarkStart w:id="2" w:name="_GoBack"/>
      <w:bookmarkEnd w:id="2"/>
    </w:p>
    <w:p w14:paraId="7BC1B4D0">
      <w:pPr>
        <w:pStyle w:val="18"/>
        <w:ind w:firstLine="480"/>
        <w:rPr>
          <w:rFonts w:hint="eastAsia"/>
          <w:sz w:val="22"/>
          <w:szCs w:val="22"/>
          <w:lang w:val="en-US" w:eastAsia="zh-CN"/>
        </w:rPr>
      </w:pPr>
    </w:p>
    <w:p w14:paraId="25532FE4">
      <w:pPr>
        <w:pStyle w:val="18"/>
        <w:ind w:firstLine="480"/>
        <w:rPr>
          <w:rFonts w:hint="eastAsia"/>
          <w:sz w:val="22"/>
          <w:szCs w:val="22"/>
          <w:lang w:val="en-US" w:eastAsia="zh-CN"/>
        </w:rPr>
      </w:pPr>
    </w:p>
    <w:p w14:paraId="3058149F">
      <w:pPr>
        <w:pStyle w:val="17"/>
        <w:tabs>
          <w:tab w:val="left" w:pos="1070"/>
        </w:tabs>
        <w:spacing w:line="360" w:lineRule="auto"/>
        <w:ind w:firstLine="420" w:firstLineChars="200"/>
        <w:rPr>
          <w:rFonts w:hint="eastAsia" w:ascii="宋体" w:hAnsi="宋体" w:eastAsia="宋体" w:cs="宋体"/>
          <w:color w:val="000000"/>
          <w:sz w:val="21"/>
          <w:szCs w:val="24"/>
          <w:lang w:eastAsia="zh-CN"/>
        </w:rPr>
      </w:pPr>
    </w:p>
    <w:p w14:paraId="163640E5">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w:t>
      </w:r>
      <w:r>
        <w:rPr>
          <w:rFonts w:hint="eastAsia" w:ascii="宋体" w:hAnsi="宋体"/>
          <w:b/>
          <w:bCs/>
          <w:sz w:val="24"/>
          <w:highlight w:val="none"/>
        </w:rPr>
        <w:t>磋商</w:t>
      </w:r>
      <w:r>
        <w:rPr>
          <w:rFonts w:hint="eastAsia" w:ascii="宋体" w:hAnsi="宋体"/>
          <w:b/>
          <w:bCs/>
          <w:sz w:val="24"/>
          <w:highlight w:val="none"/>
          <w:lang w:val="en-US" w:eastAsia="zh-CN"/>
        </w:rPr>
        <w:t>响应</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p>
    <w:p w14:paraId="25640143">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E9865FB">
      <w:pPr>
        <w:pStyle w:val="15"/>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58728FE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8A602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09C984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606ED3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BE6A8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060B3B2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5FD7B4D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p>
    <w:p w14:paraId="10FEE7C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6AAF78AC">
      <w:pPr>
        <w:pStyle w:val="5"/>
        <w:pageBreakBefore w:val="0"/>
        <w:wordWrap/>
        <w:bidi w:val="0"/>
        <w:adjustRightInd/>
        <w:spacing w:line="440" w:lineRule="exact"/>
        <w:textAlignment w:val="auto"/>
      </w:pPr>
    </w:p>
    <w:tbl>
      <w:tblPr>
        <w:tblStyle w:val="12"/>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71E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6640" w:type="dxa"/>
          </w:tcPr>
          <w:p w14:paraId="7E4B1502">
            <w:pPr>
              <w:pStyle w:val="5"/>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01001343">
      <w:pPr>
        <w:pStyle w:val="5"/>
        <w:pageBreakBefore w:val="0"/>
        <w:wordWrap/>
        <w:bidi w:val="0"/>
        <w:adjustRightInd/>
        <w:spacing w:line="440" w:lineRule="exact"/>
        <w:ind w:left="0" w:leftChars="0" w:firstLine="0" w:firstLineChars="0"/>
        <w:textAlignment w:val="auto"/>
      </w:pPr>
    </w:p>
    <w:p w14:paraId="6102B164">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2419A73D">
      <w:pPr>
        <w:pStyle w:val="5"/>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B0EBC5A">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3670ABAB">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51EB3B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0D01873A">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AE95394">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4790E0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4EDAF204">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自授权书签署之日起，至本项目竞争性磋商文件要求的磋商响应有效期满日止。</w:t>
      </w:r>
    </w:p>
    <w:p w14:paraId="0209BAA7">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1A2FCB7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2349A2A8">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2068F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AA4D5C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34A919F">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54676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4A7CA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1"/>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059A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vAlign w:val="top"/>
          </w:tcPr>
          <w:p w14:paraId="600FCF6C">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2D3D8C9">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E317FE9">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CA55C6B">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671BC27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55C59BDA">
      <w:pPr>
        <w:pageBreakBefore w:val="0"/>
        <w:wordWrap/>
        <w:bidi w:val="0"/>
        <w:adjustRightInd/>
        <w:spacing w:line="440" w:lineRule="exact"/>
        <w:textAlignment w:val="auto"/>
        <w:outlineLvl w:val="9"/>
        <w:rPr>
          <w:rFonts w:hint="eastAsia"/>
          <w:highlight w:val="none"/>
        </w:rPr>
      </w:pPr>
    </w:p>
    <w:p w14:paraId="3831B457">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1A828BF7">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65ED3E73">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3317C53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r>
        <w:rPr>
          <w:rFonts w:hint="eastAsia" w:ascii="宋体" w:hAnsi="宋体"/>
          <w:sz w:val="24"/>
          <w:highlight w:val="none"/>
        </w:rPr>
        <w:t xml:space="preserve">              </w:t>
      </w:r>
    </w:p>
    <w:p w14:paraId="08455BB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p>
    <w:p w14:paraId="5ED37EA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p>
    <w:p w14:paraId="682C18B4">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260E3A6F">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D042633">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41D0EF07">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p>
    <w:p w14:paraId="40C610E5">
      <w:pPr>
        <w:pStyle w:val="10"/>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579868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74B775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A3F4A62">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3E3A20F">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754E3E93">
      <w:pPr>
        <w:pStyle w:val="9"/>
        <w:keepNext w:val="0"/>
        <w:keepLines w:val="0"/>
        <w:pageBreakBefore w:val="0"/>
        <w:widowControl/>
        <w:kinsoku/>
        <w:wordWrap/>
        <w:overflowPunct/>
        <w:topLinePunct w:val="0"/>
        <w:autoSpaceDE/>
        <w:autoSpaceDN/>
        <w:bidi w:val="0"/>
        <w:adjustRightInd/>
        <w:snapToGrid/>
        <w:spacing w:afterLines="0" w:line="360" w:lineRule="auto"/>
        <w:ind w:firstLine="643" w:firstLineChars="200"/>
        <w:jc w:val="center"/>
        <w:textAlignment w:val="auto"/>
        <w:outlineLvl w:val="9"/>
        <w:rPr>
          <w:rFonts w:hint="eastAsia" w:ascii="宋体" w:hAnsi="宋体" w:eastAsia="宋体" w:cs="Times New Roman"/>
          <w:b/>
          <w:bCs/>
          <w:kern w:val="2"/>
          <w:sz w:val="32"/>
          <w:szCs w:val="32"/>
          <w:highlight w:val="none"/>
          <w:lang w:val="en-US" w:eastAsia="zh-CN" w:bidi="ar-SA"/>
        </w:rPr>
      </w:pPr>
      <w:r>
        <w:rPr>
          <w:rFonts w:hint="eastAsia" w:ascii="宋体" w:hAnsi="宋体" w:eastAsia="宋体" w:cs="Times New Roman"/>
          <w:b/>
          <w:bCs/>
          <w:kern w:val="2"/>
          <w:sz w:val="32"/>
          <w:szCs w:val="32"/>
          <w:highlight w:val="none"/>
          <w:lang w:val="en-US" w:eastAsia="zh-CN" w:bidi="ar-SA"/>
        </w:rPr>
        <w:t>控股管理关系</w:t>
      </w:r>
    </w:p>
    <w:p w14:paraId="7292046C">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7A377C12">
      <w:pPr>
        <w:keepNext w:val="0"/>
        <w:keepLines w:val="0"/>
        <w:pageBreakBefore w:val="0"/>
        <w:kinsoku/>
        <w:wordWrap/>
        <w:overflowPunct/>
        <w:topLinePunct w:val="0"/>
        <w:autoSpaceDE/>
        <w:autoSpaceDN/>
        <w:bidi w:val="0"/>
        <w:adjustRightInd/>
        <w:snapToGrid/>
        <w:spacing w:beforeLines="0" w:afterLines="0" w:line="360" w:lineRule="auto"/>
        <w:ind w:left="0" w:leftChars="0" w:firstLine="480"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存在直接控股、管理关系：</w:t>
      </w:r>
    </w:p>
    <w:tbl>
      <w:tblPr>
        <w:tblStyle w:val="11"/>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6B5A43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9180" w:type="dxa"/>
            <w:gridSpan w:val="4"/>
            <w:tcBorders>
              <w:left w:val="single" w:color="auto" w:sz="12" w:space="0"/>
              <w:right w:val="single" w:color="auto" w:sz="12" w:space="0"/>
            </w:tcBorders>
            <w:shd w:val="clear" w:color="auto" w:fill="F7CAAC"/>
            <w:noWrap/>
            <w:vAlign w:val="center"/>
          </w:tcPr>
          <w:p w14:paraId="712B199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23C8D3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3AF3F4A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272D1F6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3958ECB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3C99176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2AE5EF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13E935B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6D97B95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649168C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0CEF2C2A">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318D2A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78D4DC4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1FEFDC3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13016E7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3664934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423E6E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5F803B4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0834CEA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48A5509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7D54C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12F5DD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2C4C6CF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2584E3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55CE975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CCCEE20">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bl>
    <w:p w14:paraId="39E1D4EA">
      <w:pPr>
        <w:spacing w:line="500" w:lineRule="exact"/>
        <w:ind w:firstLine="3840" w:firstLineChars="1600"/>
        <w:outlineLvl w:val="9"/>
        <w:rPr>
          <w:rFonts w:hint="eastAsia" w:ascii="宋体" w:hAnsi="宋体" w:eastAsia="宋体" w:cs="宋体"/>
          <w:color w:val="auto"/>
          <w:sz w:val="24"/>
          <w:szCs w:val="24"/>
          <w:highlight w:val="none"/>
        </w:rPr>
      </w:pPr>
    </w:p>
    <w:p w14:paraId="11F7B8AD">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5F4ED691">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051B162F">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16317FAE">
      <w:pPr>
        <w:keepNext w:val="0"/>
        <w:keepLines w:val="0"/>
        <w:pageBreakBefore w:val="0"/>
        <w:widowControl/>
        <w:kinsoku/>
        <w:wordWrap/>
        <w:overflowPunct/>
        <w:topLinePunct w:val="0"/>
        <w:autoSpaceDE/>
        <w:autoSpaceDN/>
        <w:bidi w:val="0"/>
        <w:adjustRightInd/>
        <w:snapToGrid/>
        <w:spacing w:line="360" w:lineRule="auto"/>
        <w:ind w:firstLine="2150" w:firstLineChars="896"/>
        <w:jc w:val="left"/>
        <w:textAlignment w:val="auto"/>
        <w:outlineLvl w:val="9"/>
        <w:rPr>
          <w:rFonts w:hint="eastAsia" w:ascii="宋体"/>
          <w:sz w:val="24"/>
          <w:szCs w:val="24"/>
          <w:highlight w:val="none"/>
        </w:rPr>
      </w:pPr>
    </w:p>
    <w:p w14:paraId="29FA0529">
      <w:pPr>
        <w:pStyle w:val="9"/>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3523725B">
      <w:pPr>
        <w:pStyle w:val="9"/>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E18EB97">
      <w:pPr>
        <w:pStyle w:val="9"/>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14:paraId="065CCF0F">
      <w:pPr>
        <w:pStyle w:val="9"/>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6BCAF0BC">
      <w:pPr>
        <w:keepNext w:val="0"/>
        <w:keepLines w:val="0"/>
        <w:pageBreakBefore w:val="0"/>
        <w:widowControl w:val="0"/>
        <w:kinsoku/>
        <w:wordWrap/>
        <w:overflowPunct/>
        <w:topLinePunct w:val="0"/>
        <w:autoSpaceDE/>
        <w:autoSpaceDN/>
        <w:bidi w:val="0"/>
        <w:adjustRightInd/>
        <w:snapToGrid/>
        <w:spacing w:before="0" w:beforeLines="0" w:afterLines="0" w:line="240" w:lineRule="auto"/>
        <w:ind w:left="0" w:leftChars="0" w:right="0" w:firstLine="420" w:firstLineChars="200"/>
        <w:textAlignment w:val="auto"/>
        <w:outlineLvl w:val="9"/>
        <w:rPr>
          <w:rFonts w:hint="eastAsia" w:ascii="宋体" w:hAnsi="宋体" w:cs="仿宋"/>
          <w:sz w:val="24"/>
          <w:highlight w:val="none"/>
        </w:rPr>
      </w:pPr>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p w14:paraId="194DF583">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A11972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6DA78020">
      <w:pPr>
        <w:pStyle w:val="10"/>
        <w:rPr>
          <w:rFonts w:hint="eastAsia"/>
          <w:lang w:val="en-US" w:eastAsia="zh-CN"/>
        </w:rPr>
      </w:pPr>
    </w:p>
    <w:p w14:paraId="1707A432">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15853"/>
      <w:bookmarkStart w:id="1" w:name="_Toc20550"/>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308ED4BC">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079A603B">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6A4764B2">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0EACBEAD">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（项目编号）磋商活动，如我方获得成交资格，我方承诺如下：</w:t>
      </w:r>
    </w:p>
    <w:p w14:paraId="539E6995">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2F2215EB">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77DEB117">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44F464F4">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5626A72D">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64584651">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6FDBCA70">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274B2F8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p>
    <w:p w14:paraId="0177288D">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005C43C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4938D46">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p>
    <w:p w14:paraId="2D73653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200AFC2">
      <w:pPr>
        <w:pStyle w:val="9"/>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非联合体不分包</w:t>
      </w:r>
      <w:r>
        <w:rPr>
          <w:rFonts w:hint="eastAsia" w:cs="华文仿宋"/>
          <w:b/>
          <w:bCs/>
          <w:color w:val="auto"/>
          <w:kern w:val="0"/>
          <w:sz w:val="30"/>
          <w:szCs w:val="30"/>
          <w:highlight w:val="none"/>
          <w:u w:val="none"/>
          <w:lang w:val="en-US" w:eastAsia="zh-CN" w:bidi="ar-SA"/>
        </w:rPr>
        <w:t>磋商</w:t>
      </w:r>
      <w:r>
        <w:rPr>
          <w:rFonts w:hint="eastAsia" w:ascii="Calibri" w:hAnsi="Calibri" w:eastAsia="宋体" w:cs="华文仿宋"/>
          <w:b/>
          <w:bCs/>
          <w:color w:val="auto"/>
          <w:kern w:val="0"/>
          <w:sz w:val="30"/>
          <w:szCs w:val="30"/>
          <w:highlight w:val="none"/>
          <w:u w:val="none"/>
          <w:lang w:val="en-US" w:eastAsia="zh-CN" w:bidi="ar-SA"/>
        </w:rPr>
        <w:t>声明</w:t>
      </w:r>
    </w:p>
    <w:p w14:paraId="32AE6EF3">
      <w:pPr>
        <w:spacing w:line="360" w:lineRule="auto"/>
        <w:ind w:firstLine="480" w:firstLineChars="200"/>
        <w:outlineLvl w:val="9"/>
        <w:rPr>
          <w:rFonts w:hint="eastAsia" w:ascii="宋体" w:hAnsi="宋体" w:eastAsia="宋体" w:cs="宋体"/>
          <w:color w:val="auto"/>
          <w:sz w:val="24"/>
          <w:szCs w:val="24"/>
          <w:highlight w:val="none"/>
        </w:rPr>
      </w:pPr>
    </w:p>
    <w:p w14:paraId="59260726">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23975169">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w:t>
      </w:r>
      <w:r>
        <w:rPr>
          <w:rFonts w:hint="eastAsia" w:ascii="宋体" w:hAnsi="宋体" w:eastAsia="宋体" w:cs="宋体"/>
          <w:color w:val="auto"/>
          <w:sz w:val="24"/>
          <w:szCs w:val="24"/>
          <w:highlight w:val="none"/>
          <w:lang w:val="en-US" w:eastAsia="zh-CN"/>
        </w:rPr>
        <w:t>中建华阳建设项目管理有限责任公司</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磋商</w:t>
      </w:r>
      <w:r>
        <w:rPr>
          <w:rFonts w:hint="eastAsia" w:ascii="宋体" w:hAnsi="宋体" w:eastAsia="宋体" w:cs="宋体"/>
          <w:color w:val="auto"/>
          <w:sz w:val="24"/>
          <w:szCs w:val="24"/>
          <w:highlight w:val="none"/>
        </w:rPr>
        <w:t>，本项目实施过程由本单位独立承担。</w:t>
      </w:r>
    </w:p>
    <w:p w14:paraId="4DE03DF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2F0EEE20">
      <w:pPr>
        <w:spacing w:line="360" w:lineRule="auto"/>
        <w:ind w:firstLine="480" w:firstLineChars="200"/>
        <w:jc w:val="left"/>
        <w:outlineLvl w:val="9"/>
        <w:rPr>
          <w:rFonts w:hint="eastAsia" w:ascii="宋体" w:hAnsi="宋体" w:eastAsia="宋体" w:cs="宋体"/>
          <w:color w:val="auto"/>
          <w:sz w:val="24"/>
          <w:szCs w:val="24"/>
          <w:highlight w:val="none"/>
        </w:rPr>
      </w:pPr>
    </w:p>
    <w:p w14:paraId="6757A045">
      <w:pPr>
        <w:pStyle w:val="3"/>
        <w:spacing w:line="360" w:lineRule="auto"/>
        <w:outlineLvl w:val="9"/>
        <w:rPr>
          <w:rFonts w:hint="eastAsia" w:ascii="宋体" w:hAnsi="宋体" w:eastAsia="宋体" w:cs="宋体"/>
          <w:color w:val="auto"/>
          <w:sz w:val="24"/>
          <w:szCs w:val="24"/>
          <w:highlight w:val="none"/>
        </w:rPr>
      </w:pPr>
    </w:p>
    <w:p w14:paraId="77AEB1B5">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387821BD">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048AC61">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372E34D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58D22BA5">
      <w:pPr>
        <w:pStyle w:val="5"/>
        <w:rPr>
          <w:rFonts w:hint="eastAsia" w:ascii="宋体" w:hAnsi="宋体" w:cs="宋体"/>
          <w:sz w:val="24"/>
          <w:highlight w:val="none"/>
        </w:rPr>
      </w:pPr>
    </w:p>
    <w:p w14:paraId="3B2B02F2">
      <w:pPr>
        <w:rPr>
          <w:rFonts w:hint="eastAsia"/>
        </w:rPr>
      </w:pPr>
      <w:r>
        <w:rPr>
          <w:rFonts w:hint="eastAsia"/>
        </w:rPr>
        <w:br w:type="page"/>
      </w:r>
    </w:p>
    <w:p w14:paraId="474D3E0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格式7：</w:t>
      </w:r>
    </w:p>
    <w:p w14:paraId="4AFF9427">
      <w:pPr>
        <w:pStyle w:val="9"/>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书面声明</w:t>
      </w:r>
    </w:p>
    <w:p w14:paraId="2C188C29">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64EF17CC">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我单位具有履行合同所必需的设备和专业技术能力，未为本项目提供整体设计、规范编制或者项目管理、监理、检测等服务。</w:t>
      </w:r>
    </w:p>
    <w:p w14:paraId="183BCA63">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p>
    <w:p w14:paraId="551BFD92">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特此声明！</w:t>
      </w:r>
    </w:p>
    <w:p w14:paraId="447DD1E2">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1BE5A788">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2EEEB6B6">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0F7B813B">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1C9CFC2B">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5E5FACA4">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42A41CFA">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w:t>
      </w:r>
    </w:p>
    <w:p w14:paraId="64BEAB24">
      <w:pPr>
        <w:pStyle w:val="5"/>
        <w:ind w:left="0" w:leftChars="0" w:firstLine="0" w:firstLineChars="0"/>
        <w:rPr>
          <w:rFonts w:hint="eastAsia"/>
        </w:rPr>
      </w:pPr>
    </w:p>
    <w:p w14:paraId="736AFDD5">
      <w:pPr>
        <w:pStyle w:val="5"/>
        <w:rPr>
          <w:rFonts w:hint="eastAsia" w:ascii="宋体" w:hAnsi="宋体" w:cs="宋体"/>
          <w:sz w:val="24"/>
          <w:highlight w:val="none"/>
        </w:rPr>
      </w:pPr>
    </w:p>
    <w:p w14:paraId="78069B8F">
      <w:pPr>
        <w:rPr>
          <w:rFonts w:hint="eastAsia"/>
          <w:lang w:val="en-US" w:eastAsia="zh-CN"/>
        </w:rPr>
      </w:pPr>
    </w:p>
    <w:p w14:paraId="30DC19B0">
      <w:pPr>
        <w:spacing w:line="480" w:lineRule="auto"/>
        <w:ind w:firstLine="480" w:firstLineChars="200"/>
        <w:jc w:val="left"/>
        <w:outlineLvl w:val="9"/>
      </w:pPr>
      <w:r>
        <w:rPr>
          <w:rFonts w:ascii="宋体" w:hAnsi="宋体"/>
          <w:color w:val="auto"/>
          <w:sz w:val="24"/>
        </w:rPr>
        <w:t xml:space="preserve"> </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366978AF"/>
    <w:rsid w:val="01227D26"/>
    <w:rsid w:val="07344595"/>
    <w:rsid w:val="07A86C26"/>
    <w:rsid w:val="09824A8B"/>
    <w:rsid w:val="0BDB5B8F"/>
    <w:rsid w:val="0DF51FA4"/>
    <w:rsid w:val="10D25CD3"/>
    <w:rsid w:val="119A56B6"/>
    <w:rsid w:val="13806B2E"/>
    <w:rsid w:val="15CA01B9"/>
    <w:rsid w:val="1A4516DF"/>
    <w:rsid w:val="212F35D3"/>
    <w:rsid w:val="21D0758E"/>
    <w:rsid w:val="22356D36"/>
    <w:rsid w:val="22AE6F25"/>
    <w:rsid w:val="294C32E2"/>
    <w:rsid w:val="2B065DE0"/>
    <w:rsid w:val="2B7E34FB"/>
    <w:rsid w:val="2D3C478E"/>
    <w:rsid w:val="32DD46CE"/>
    <w:rsid w:val="33DE547F"/>
    <w:rsid w:val="33FE081B"/>
    <w:rsid w:val="36207FB2"/>
    <w:rsid w:val="366978AF"/>
    <w:rsid w:val="36DD14DD"/>
    <w:rsid w:val="37305FF2"/>
    <w:rsid w:val="37F0752F"/>
    <w:rsid w:val="39036E15"/>
    <w:rsid w:val="39BF18AF"/>
    <w:rsid w:val="3B19165E"/>
    <w:rsid w:val="3BE654AC"/>
    <w:rsid w:val="3C1A24F9"/>
    <w:rsid w:val="3E970590"/>
    <w:rsid w:val="4624154D"/>
    <w:rsid w:val="480C3945"/>
    <w:rsid w:val="48EC0872"/>
    <w:rsid w:val="4A164F3A"/>
    <w:rsid w:val="4DC76F6F"/>
    <w:rsid w:val="5807105F"/>
    <w:rsid w:val="5A5904AF"/>
    <w:rsid w:val="64FE25AD"/>
    <w:rsid w:val="68143F9C"/>
    <w:rsid w:val="681B6F2C"/>
    <w:rsid w:val="69B02E3D"/>
    <w:rsid w:val="69B27222"/>
    <w:rsid w:val="6CA46961"/>
    <w:rsid w:val="6DBD3434"/>
    <w:rsid w:val="6F0F2D2B"/>
    <w:rsid w:val="7B8C0115"/>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2">
    <w:name w:val="heading 2"/>
    <w:basedOn w:val="1"/>
    <w:next w:val="3"/>
    <w:autoRedefine/>
    <w:qFormat/>
    <w:uiPriority w:val="99"/>
    <w:pPr>
      <w:keepNext/>
      <w:keepLines/>
      <w:spacing w:line="413" w:lineRule="auto"/>
      <w:jc w:val="center"/>
      <w:outlineLvl w:val="1"/>
    </w:pPr>
    <w:rPr>
      <w:rFonts w:ascii="Arial" w:hAnsi="Arial"/>
      <w:b/>
      <w:sz w:val="28"/>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autoRedefine/>
    <w:qFormat/>
    <w:uiPriority w:val="99"/>
    <w:pPr>
      <w:ind w:firstLine="420"/>
    </w:pPr>
    <w:rPr>
      <w:szCs w:val="20"/>
    </w:r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w:basedOn w:val="1"/>
    <w:next w:val="1"/>
    <w:autoRedefine/>
    <w:qFormat/>
    <w:uiPriority w:val="0"/>
    <w:rPr>
      <w:sz w:val="28"/>
    </w:rPr>
  </w:style>
  <w:style w:type="paragraph" w:styleId="6">
    <w:name w:val="Body Text Indent"/>
    <w:basedOn w:val="1"/>
    <w:autoRedefine/>
    <w:qFormat/>
    <w:uiPriority w:val="0"/>
    <w:pPr>
      <w:spacing w:after="120"/>
      <w:ind w:left="420"/>
    </w:pPr>
    <w:rPr>
      <w:kern w:val="1"/>
    </w:rPr>
  </w:style>
  <w:style w:type="paragraph" w:styleId="7">
    <w:name w:val="toc 2"/>
    <w:basedOn w:val="1"/>
    <w:next w:val="1"/>
    <w:autoRedefine/>
    <w:qFormat/>
    <w:uiPriority w:val="39"/>
    <w:pPr>
      <w:ind w:left="420" w:leftChars="200"/>
    </w:pPr>
  </w:style>
  <w:style w:type="paragraph" w:styleId="8">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9">
    <w:name w:val="Body Text First Indent"/>
    <w:basedOn w:val="5"/>
    <w:next w:val="10"/>
    <w:autoRedefine/>
    <w:unhideWhenUsed/>
    <w:qFormat/>
    <w:uiPriority w:val="99"/>
    <w:pPr>
      <w:ind w:firstLine="420" w:firstLineChars="100"/>
    </w:pPr>
  </w:style>
  <w:style w:type="paragraph" w:styleId="10">
    <w:name w:val="Body Text First Indent 2"/>
    <w:basedOn w:val="6"/>
    <w:next w:val="1"/>
    <w:autoRedefine/>
    <w:qFormat/>
    <w:uiPriority w:val="0"/>
    <w:pPr>
      <w:ind w:firstLine="420" w:firstLineChars="200"/>
    </w:p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BodyText"/>
    <w:basedOn w:val="1"/>
    <w:autoRedefine/>
    <w:qFormat/>
    <w:uiPriority w:val="0"/>
    <w:pPr>
      <w:jc w:val="both"/>
      <w:textAlignment w:val="baseline"/>
    </w:pPr>
    <w:rPr>
      <w:rFonts w:ascii="Calibri" w:hAnsi="Calibri" w:eastAsia="宋体"/>
      <w:kern w:val="2"/>
      <w:sz w:val="21"/>
      <w:szCs w:val="21"/>
      <w:lang w:val="en-US" w:eastAsia="zh-CN" w:bidi="ar-SA"/>
    </w:rPr>
  </w:style>
  <w:style w:type="paragraph" w:customStyle="1" w:styleId="15">
    <w:name w:val="样式 标题 2 + Times New Roman 四号 非加粗 段前: 5 磅 段后: 0 磅 行距: 固定值 20..."/>
    <w:basedOn w:val="2"/>
    <w:autoRedefine/>
    <w:qFormat/>
    <w:uiPriority w:val="0"/>
    <w:pPr>
      <w:spacing w:before="100" w:after="0" w:line="400" w:lineRule="exact"/>
    </w:pPr>
    <w:rPr>
      <w:rFonts w:ascii="Times New Roman" w:hAnsi="Times New Roman" w:cs="宋体"/>
      <w:b w:val="0"/>
      <w:sz w:val="28"/>
      <w:szCs w:val="20"/>
    </w:rPr>
  </w:style>
  <w:style w:type="paragraph" w:customStyle="1" w:styleId="16">
    <w:name w:val="List Paragraph"/>
    <w:basedOn w:val="1"/>
    <w:autoRedefine/>
    <w:unhideWhenUsed/>
    <w:qFormat/>
    <w:uiPriority w:val="99"/>
    <w:pPr>
      <w:ind w:firstLine="420" w:firstLineChars="200"/>
    </w:pPr>
  </w:style>
  <w:style w:type="paragraph" w:customStyle="1" w:styleId="17">
    <w:name w:val="Body text|1"/>
    <w:basedOn w:val="1"/>
    <w:autoRedefine/>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2597</Words>
  <Characters>2605</Characters>
  <Lines>0</Lines>
  <Paragraphs>0</Paragraphs>
  <TotalTime>0</TotalTime>
  <ScaleCrop>false</ScaleCrop>
  <LinksUpToDate>false</LinksUpToDate>
  <CharactersWithSpaces>3600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孙笑梅</cp:lastModifiedBy>
  <dcterms:modified xsi:type="dcterms:W3CDTF">2025-03-30T09:01:23Z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440A8BA5E5CF4120A77FEA7E6BA6D232</vt:lpwstr>
  </property>
  <property fmtid="{D5CDD505-2E9C-101B-9397-08002B2CF9AE}" pid="4" name="KSOTemplateDocerSaveRecord">
    <vt:lpwstr>eyJoZGlkIjoiOGY5YmY1YzJiYTBjMGRhNzIwOGMxMGU3MTkyNjc2MTgiLCJ1c2VySWQiOiI1NTQxMjM5NjIifQ==</vt:lpwstr>
  </property>
</Properties>
</file>