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版本号：ZJZC202412180820250330001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西安市雁塔区市政道路检测服务项目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ZJZC2024121808</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西安市雁塔区市政道路检测服务项目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ZJZC2024121808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西安市雁塔区市政道路检测服务项目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市政道路检测服务项目，具体内容包含西安市雁塔区东康路市政工程EPC总承包等11条市政道路的道路工程、雨水工程、污水工程、交通工程、照明工程、电力管沟工程、通信管道工程的第三方原材料及现场试验检测工作。具体内容详见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采购包1（西安市雁塔区市政道路检测服务项目）：属于专门面向中小企业采购。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2、资质：供应商具备建设工程质量检测机构资质证书（检测范围含市政道路相关检测内容）及与检测资质相对应的计量认证（CMA认证）证书且在有效期之内，检验检测能力附表有相应检测项目。</w:t>
      </w:r>
    </w:p>
    <w:p>
      <w:pPr>
        <w:pStyle w:val="null3"/>
      </w:pPr>
      <w:r>
        <w:rPr>
          <w:rFonts w:ascii="仿宋_GB2312" w:hAnsi="仿宋_GB2312" w:cs="仿宋_GB2312" w:eastAsia="仿宋_GB2312"/>
        </w:rPr>
        <w:t>3、财务状况报告：提供2024年度或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5、社保缴纳证明：提供递交响应文件截止之日前一年内任意一个月的社会保障资金缴存单据或社保机构开具的社会保险参保缴费情况证明。依法不需要缴纳社会保障资金的供应商应提供相关文件证明。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7、近三年无重大违法、违纪书面声明：提供《近三年无重大违法、违纪书面声明》。</w:t>
      </w:r>
    </w:p>
    <w:p>
      <w:pPr>
        <w:pStyle w:val="null3"/>
      </w:pPr>
      <w:r>
        <w:rPr>
          <w:rFonts w:ascii="仿宋_GB2312" w:hAnsi="仿宋_GB2312" w:cs="仿宋_GB2312" w:eastAsia="仿宋_GB2312"/>
        </w:rPr>
        <w:t>8、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10、法定代表人授权委托书：法定代表人参加磋商的，须提供本人身份证复印件（附在资格证明文件中）；法定代表人授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11、本项目不接受联合体磋商，不允许分包：供应商应提供《非联合体不分包磋商声明》，视为独立磋商，不分包。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陕西省西安市新城区陕西省西安市新城区长乐中路242号金花新都汇A座写字楼24层06室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董喜峰、裴慢慢、孙英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17792803190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国家发展和改革委员会办公厅颁发的《关于招标代理服务收费有关问题的通知》（发改办价格[2003] 857号）收费标准计取。若代理服务费计算后不足6000元按6000元计取。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符合国家、省、市相关规定要求，满足采购人要求。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联系人：孙英</w:t>
      </w:r>
    </w:p>
    <w:p>
      <w:pPr>
        <w:pStyle w:val="null3"/>
      </w:pPr>
      <w:r>
        <w:rPr>
          <w:rFonts w:ascii="仿宋_GB2312" w:hAnsi="仿宋_GB2312" w:cs="仿宋_GB2312" w:eastAsia="仿宋_GB2312"/>
        </w:rPr>
        <w:t>联系电话：17792803190</w:t>
      </w:r>
    </w:p>
    <w:p>
      <w:pPr>
        <w:pStyle w:val="null3"/>
      </w:pPr>
      <w:r>
        <w:rPr>
          <w:rFonts w:ascii="仿宋_GB2312" w:hAnsi="仿宋_GB2312" w:cs="仿宋_GB2312" w:eastAsia="仿宋_GB2312"/>
        </w:rPr>
        <w:t>地址：陕西省西安市新城区长乐中路242号金花新都汇A座写字楼24层06室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市政道路检测服务项目，具体内容包含西安市雁塔区东康路市政工程EPC总承包等11条市政道路的道路工程、雨水工程、污水工程、交通工程、照明工程、电力管沟工程、通信管道工程的第三方原材料及现场试验检测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市政道路检测服务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标的名称：市政道路检测服务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ind w:firstLine="400"/>
              <w:jc w:val="both"/>
            </w:pPr>
            <w:r>
              <w:rPr>
                <w:rFonts w:ascii="仿宋_GB2312" w:hAnsi="仿宋_GB2312" w:cs="仿宋_GB2312" w:eastAsia="仿宋_GB2312"/>
                <w:sz w:val="20"/>
              </w:rPr>
              <w:t>项目名称：西安市雁塔区市政道路检测服务项目</w:t>
            </w:r>
          </w:p>
          <w:p>
            <w:pPr>
              <w:pStyle w:val="null3"/>
              <w:ind w:firstLine="400"/>
              <w:jc w:val="both"/>
            </w:pPr>
            <w:r>
              <w:rPr>
                <w:rFonts w:ascii="仿宋_GB2312" w:hAnsi="仿宋_GB2312" w:cs="仿宋_GB2312" w:eastAsia="仿宋_GB2312"/>
                <w:sz w:val="20"/>
              </w:rPr>
              <w:t>采购预算：</w:t>
            </w:r>
            <w:r>
              <w:rPr>
                <w:rFonts w:ascii="仿宋_GB2312" w:hAnsi="仿宋_GB2312" w:cs="仿宋_GB2312" w:eastAsia="仿宋_GB2312"/>
                <w:sz w:val="20"/>
              </w:rPr>
              <w:t>160</w:t>
            </w:r>
            <w:r>
              <w:rPr>
                <w:rFonts w:ascii="仿宋_GB2312" w:hAnsi="仿宋_GB2312" w:cs="仿宋_GB2312" w:eastAsia="仿宋_GB2312"/>
                <w:sz w:val="20"/>
              </w:rPr>
              <w:t>万元</w:t>
            </w:r>
          </w:p>
          <w:p>
            <w:pPr>
              <w:pStyle w:val="null3"/>
              <w:ind w:firstLine="400"/>
              <w:jc w:val="both"/>
            </w:pPr>
            <w:r>
              <w:rPr>
                <w:rFonts w:ascii="仿宋_GB2312" w:hAnsi="仿宋_GB2312" w:cs="仿宋_GB2312" w:eastAsia="仿宋_GB2312"/>
                <w:sz w:val="20"/>
              </w:rPr>
              <w:t>西安市雁塔区市政道路检测服务项目</w:t>
            </w:r>
            <w:r>
              <w:rPr>
                <w:rFonts w:ascii="仿宋_GB2312" w:hAnsi="仿宋_GB2312" w:cs="仿宋_GB2312" w:eastAsia="仿宋_GB2312"/>
                <w:sz w:val="20"/>
              </w:rPr>
              <w:t>，</w:t>
            </w:r>
            <w:r>
              <w:rPr>
                <w:rFonts w:ascii="仿宋_GB2312" w:hAnsi="仿宋_GB2312" w:cs="仿宋_GB2312" w:eastAsia="仿宋_GB2312"/>
                <w:sz w:val="20"/>
              </w:rPr>
              <w:t>具体市政道路如下：</w:t>
            </w:r>
          </w:p>
          <w:tbl>
            <w:tblPr>
              <w:tblBorders>
                <w:top w:val="none" w:color="000000" w:sz="4"/>
                <w:left w:val="none" w:color="000000" w:sz="4"/>
                <w:bottom w:val="none" w:color="000000" w:sz="4"/>
                <w:right w:val="none" w:color="000000" w:sz="4"/>
                <w:insideH w:val="none"/>
                <w:insideV w:val="none"/>
              </w:tblBorders>
            </w:tblPr>
            <w:tblGrid>
              <w:gridCol w:w="340"/>
              <w:gridCol w:w="2910"/>
            </w:tblGrid>
            <w:tr>
              <w:tc>
                <w:tcPr>
                  <w:tcW w:type="dxa" w:w="34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序号</w:t>
                  </w:r>
                </w:p>
              </w:tc>
              <w:tc>
                <w:tcPr>
                  <w:tcW w:type="dxa" w:w="29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市政道路（含管线）勘察项目名称</w:t>
                  </w:r>
                </w:p>
              </w:tc>
            </w:tr>
            <w:tr>
              <w:tc>
                <w:tcPr>
                  <w:tcW w:type="dxa" w:w="340"/>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910"/>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东康路市政工程</w:t>
                  </w:r>
                  <w:r>
                    <w:rPr>
                      <w:rFonts w:ascii="仿宋_GB2312" w:hAnsi="仿宋_GB2312" w:cs="仿宋_GB2312" w:eastAsia="仿宋_GB2312"/>
                      <w:sz w:val="20"/>
                    </w:rPr>
                    <w:t>EPC总承包</w:t>
                  </w:r>
                </w:p>
              </w:tc>
            </w:tr>
            <w:tr>
              <w:tc>
                <w:tcPr>
                  <w:tcW w:type="dxa" w:w="340"/>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910"/>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延兴门二路东延伸（公园南路</w:t>
                  </w:r>
                  <w:r>
                    <w:rPr>
                      <w:rFonts w:ascii="仿宋_GB2312" w:hAnsi="仿宋_GB2312" w:cs="仿宋_GB2312" w:eastAsia="仿宋_GB2312"/>
                      <w:sz w:val="20"/>
                    </w:rPr>
                    <w:t>—长鸣路）市政工程EPC总承包</w:t>
                  </w:r>
                </w:p>
              </w:tc>
            </w:tr>
            <w:tr>
              <w:tc>
                <w:tcPr>
                  <w:tcW w:type="dxa" w:w="340"/>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910"/>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经九路西侧规划路（西影路</w:t>
                  </w:r>
                  <w:r>
                    <w:rPr>
                      <w:rFonts w:ascii="仿宋_GB2312" w:hAnsi="仿宋_GB2312" w:cs="仿宋_GB2312" w:eastAsia="仿宋_GB2312"/>
                      <w:sz w:val="20"/>
                    </w:rPr>
                    <w:t>—青龙路）市政工程EPC总承包</w:t>
                  </w:r>
                </w:p>
              </w:tc>
            </w:tr>
            <w:tr>
              <w:tc>
                <w:tcPr>
                  <w:tcW w:type="dxa" w:w="340"/>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910"/>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雁塔区正大家属院东侧路（</w:t>
                  </w:r>
                  <w:r>
                    <w:rPr>
                      <w:rFonts w:ascii="仿宋_GB2312" w:hAnsi="仿宋_GB2312" w:cs="仿宋_GB2312" w:eastAsia="仿宋_GB2312"/>
                      <w:sz w:val="20"/>
                    </w:rPr>
                    <w:t>L型）市政工程</w:t>
                  </w:r>
                </w:p>
              </w:tc>
            </w:tr>
            <w:tr>
              <w:tc>
                <w:tcPr>
                  <w:tcW w:type="dxa" w:w="340"/>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2910"/>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雁塔区姚家村便民路（大寨西路</w:t>
                  </w:r>
                  <w:r>
                    <w:rPr>
                      <w:rFonts w:ascii="仿宋_GB2312" w:hAnsi="仿宋_GB2312" w:cs="仿宋_GB2312" w:eastAsia="仿宋_GB2312"/>
                      <w:sz w:val="20"/>
                    </w:rPr>
                    <w:t>-规划路）市政工程</w:t>
                  </w:r>
                </w:p>
              </w:tc>
            </w:tr>
            <w:tr>
              <w:tc>
                <w:tcPr>
                  <w:tcW w:type="dxa" w:w="340"/>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2910"/>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雁塔区姚家村北侧路市政工程</w:t>
                  </w:r>
                </w:p>
              </w:tc>
            </w:tr>
            <w:tr>
              <w:tc>
                <w:tcPr>
                  <w:tcW w:type="dxa" w:w="340"/>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7</w:t>
                  </w:r>
                </w:p>
              </w:tc>
              <w:tc>
                <w:tcPr>
                  <w:tcW w:type="dxa" w:w="2910"/>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雁塔区大寨北路（高压线改迁）市政工程</w:t>
                  </w:r>
                </w:p>
              </w:tc>
            </w:tr>
            <w:tr>
              <w:tc>
                <w:tcPr>
                  <w:tcW w:type="dxa" w:w="340"/>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8</w:t>
                  </w:r>
                </w:p>
              </w:tc>
              <w:tc>
                <w:tcPr>
                  <w:tcW w:type="dxa" w:w="2910"/>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雁塔区沣经三路（雁长界</w:t>
                  </w:r>
                  <w:r>
                    <w:rPr>
                      <w:rFonts w:ascii="仿宋_GB2312" w:hAnsi="仿宋_GB2312" w:cs="仿宋_GB2312" w:eastAsia="仿宋_GB2312"/>
                      <w:sz w:val="20"/>
                    </w:rPr>
                    <w:t>—樱花二路）市政工程</w:t>
                  </w:r>
                </w:p>
              </w:tc>
            </w:tr>
            <w:tr>
              <w:tc>
                <w:tcPr>
                  <w:tcW w:type="dxa" w:w="340"/>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9</w:t>
                  </w:r>
                </w:p>
              </w:tc>
              <w:tc>
                <w:tcPr>
                  <w:tcW w:type="dxa" w:w="2910"/>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雁塔区青龙南路西段（西延路</w:t>
                  </w:r>
                  <w:r>
                    <w:rPr>
                      <w:rFonts w:ascii="仿宋_GB2312" w:hAnsi="仿宋_GB2312" w:cs="仿宋_GB2312" w:eastAsia="仿宋_GB2312"/>
                      <w:sz w:val="20"/>
                    </w:rPr>
                    <w:t>-经九路）市政工程</w:t>
                  </w:r>
                </w:p>
              </w:tc>
            </w:tr>
            <w:tr>
              <w:tc>
                <w:tcPr>
                  <w:tcW w:type="dxa" w:w="340"/>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10</w:t>
                  </w:r>
                </w:p>
              </w:tc>
              <w:tc>
                <w:tcPr>
                  <w:tcW w:type="dxa" w:w="2910"/>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雁塔区省武警家属院东侧路（西影路</w:t>
                  </w:r>
                  <w:r>
                    <w:rPr>
                      <w:rFonts w:ascii="仿宋_GB2312" w:hAnsi="仿宋_GB2312" w:cs="仿宋_GB2312" w:eastAsia="仿宋_GB2312"/>
                      <w:sz w:val="20"/>
                    </w:rPr>
                    <w:t>-青龙南路西段）市政工程</w:t>
                  </w:r>
                </w:p>
              </w:tc>
            </w:tr>
            <w:tr>
              <w:tc>
                <w:tcPr>
                  <w:tcW w:type="dxa" w:w="340"/>
                  <w:tcBorders>
                    <w:top w:val="singl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11</w:t>
                  </w:r>
                </w:p>
              </w:tc>
              <w:tc>
                <w:tcPr>
                  <w:tcW w:type="dxa" w:w="2910"/>
                  <w:tcBorders>
                    <w:top w:val="singl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雁塔区青龙南路东段</w:t>
                  </w:r>
                  <w:r>
                    <w:rPr>
                      <w:rFonts w:ascii="仿宋_GB2312" w:hAnsi="仿宋_GB2312" w:cs="仿宋_GB2312" w:eastAsia="仿宋_GB2312"/>
                      <w:sz w:val="20"/>
                    </w:rPr>
                    <w:t>(雁翔路一经九路)市政工程</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jc w:val="both"/>
            </w:pPr>
            <w:r>
              <w:rPr>
                <w:rFonts w:ascii="仿宋_GB2312" w:hAnsi="仿宋_GB2312" w:cs="仿宋_GB2312" w:eastAsia="仿宋_GB2312"/>
                <w:sz w:val="20"/>
              </w:rPr>
              <w:t>西安市雁塔区市政道路检测服务项目</w:t>
            </w:r>
            <w:r>
              <w:rPr>
                <w:rFonts w:ascii="仿宋_GB2312" w:hAnsi="仿宋_GB2312" w:cs="仿宋_GB2312" w:eastAsia="仿宋_GB2312"/>
                <w:sz w:val="20"/>
              </w:rPr>
              <w:t>，</w:t>
            </w:r>
            <w:r>
              <w:rPr>
                <w:rFonts w:ascii="仿宋_GB2312" w:hAnsi="仿宋_GB2312" w:cs="仿宋_GB2312" w:eastAsia="仿宋_GB2312"/>
                <w:sz w:val="20"/>
              </w:rPr>
              <w:t>具体</w:t>
            </w:r>
            <w:r>
              <w:rPr>
                <w:rFonts w:ascii="仿宋_GB2312" w:hAnsi="仿宋_GB2312" w:cs="仿宋_GB2312" w:eastAsia="仿宋_GB2312"/>
                <w:sz w:val="20"/>
              </w:rPr>
              <w:t>内容</w:t>
            </w:r>
            <w:r>
              <w:rPr>
                <w:rFonts w:ascii="仿宋_GB2312" w:hAnsi="仿宋_GB2312" w:cs="仿宋_GB2312" w:eastAsia="仿宋_GB2312"/>
                <w:sz w:val="20"/>
              </w:rPr>
              <w:t>包含西安市雁塔区</w:t>
            </w:r>
            <w:r>
              <w:rPr>
                <w:rFonts w:ascii="仿宋_GB2312" w:hAnsi="仿宋_GB2312" w:cs="仿宋_GB2312" w:eastAsia="仿宋_GB2312"/>
                <w:sz w:val="20"/>
              </w:rPr>
              <w:t>东康路市政工程</w:t>
            </w:r>
            <w:r>
              <w:rPr>
                <w:rFonts w:ascii="仿宋_GB2312" w:hAnsi="仿宋_GB2312" w:cs="仿宋_GB2312" w:eastAsia="仿宋_GB2312"/>
                <w:sz w:val="20"/>
              </w:rPr>
              <w:t>EPC总承包等</w:t>
            </w:r>
            <w:r>
              <w:rPr>
                <w:rFonts w:ascii="仿宋_GB2312" w:hAnsi="仿宋_GB2312" w:cs="仿宋_GB2312" w:eastAsia="仿宋_GB2312"/>
                <w:sz w:val="20"/>
              </w:rPr>
              <w:t>11</w:t>
            </w:r>
            <w:r>
              <w:rPr>
                <w:rFonts w:ascii="仿宋_GB2312" w:hAnsi="仿宋_GB2312" w:cs="仿宋_GB2312" w:eastAsia="仿宋_GB2312"/>
                <w:sz w:val="20"/>
              </w:rPr>
              <w:t>条市政道路的道路工程、雨水工程、污水工程、交通工程、照明工程、电力管沟工程、通信管道工程</w:t>
            </w:r>
            <w:r>
              <w:rPr>
                <w:rFonts w:ascii="仿宋_GB2312" w:hAnsi="仿宋_GB2312" w:cs="仿宋_GB2312" w:eastAsia="仿宋_GB2312"/>
                <w:sz w:val="20"/>
              </w:rPr>
              <w:t>的第三方原材料及现场试验检测工作。</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检测依据</w:t>
            </w:r>
          </w:p>
        </w:tc>
        <w:tc>
          <w:tcPr>
            <w:tcW w:type="dxa" w:w="2076"/>
          </w:tcPr>
          <w:p>
            <w:pPr>
              <w:pStyle w:val="null3"/>
              <w:ind w:firstLine="400"/>
              <w:jc w:val="both"/>
            </w:pPr>
            <w:r>
              <w:rPr>
                <w:rFonts w:ascii="仿宋_GB2312" w:hAnsi="仿宋_GB2312" w:cs="仿宋_GB2312" w:eastAsia="仿宋_GB2312"/>
                <w:sz w:val="20"/>
              </w:rPr>
              <w:t>1、《建设工程质量检测管理办法》中华人民共和国建设部令第 141 号。</w:t>
            </w:r>
          </w:p>
          <w:p>
            <w:pPr>
              <w:pStyle w:val="null3"/>
              <w:ind w:firstLine="400"/>
              <w:jc w:val="both"/>
            </w:pPr>
            <w:r>
              <w:rPr>
                <w:rFonts w:ascii="仿宋_GB2312" w:hAnsi="仿宋_GB2312" w:cs="仿宋_GB2312" w:eastAsia="仿宋_GB2312"/>
                <w:sz w:val="20"/>
              </w:rPr>
              <w:t>2、《关于贯彻落实建设部&lt;建设工程质量检测管理办法&gt;的实施意见》陕建发[2006]107 号。</w:t>
            </w:r>
          </w:p>
          <w:p>
            <w:pPr>
              <w:pStyle w:val="null3"/>
              <w:ind w:firstLine="400"/>
              <w:jc w:val="both"/>
            </w:pPr>
            <w:r>
              <w:rPr>
                <w:rFonts w:ascii="仿宋_GB2312" w:hAnsi="仿宋_GB2312" w:cs="仿宋_GB2312" w:eastAsia="仿宋_GB2312"/>
                <w:sz w:val="20"/>
              </w:rPr>
              <w:t>3、《城镇道路工程施工与质量验收规范》（CJJ 1-2008）、《公路工程质量检测检验评定标准》（土建工程）（JTG F80/1-2017）等国家及相关行业部门颁布的技术标准、规范、规程及有关规定。</w:t>
            </w:r>
          </w:p>
          <w:p>
            <w:pPr>
              <w:pStyle w:val="null3"/>
              <w:ind w:firstLine="400"/>
              <w:jc w:val="both"/>
            </w:pPr>
            <w:r>
              <w:rPr>
                <w:rFonts w:ascii="仿宋_GB2312" w:hAnsi="仿宋_GB2312" w:cs="仿宋_GB2312" w:eastAsia="仿宋_GB2312"/>
                <w:sz w:val="20"/>
              </w:rPr>
              <w:t>4、相关的施工图纸与技术资料等。</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技术要求</w:t>
            </w:r>
          </w:p>
        </w:tc>
        <w:tc>
          <w:tcPr>
            <w:tcW w:type="dxa" w:w="2076"/>
          </w:tcPr>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本工程适用现行国家、省、市、行业和地方规范、标准和规程。</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规范、标准和规程如发生不一致时，则以要求最为严格的规范、规程或标准作为工作依</w:t>
            </w:r>
            <w:r>
              <w:rPr>
                <w:rFonts w:ascii="仿宋_GB2312" w:hAnsi="仿宋_GB2312" w:cs="仿宋_GB2312" w:eastAsia="仿宋_GB2312"/>
                <w:sz w:val="20"/>
              </w:rPr>
              <w:t>据。</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在合同履行期间，委托方应满足发包人的特定技术要求，满足陕西及西安市的有关强制性规定；委托方应严格执行中华人民共和国强制性标准，执行现行的或即将颁布的行业标准、规范；如有新颁国家标准及行业标准、规范，委托方指令执行时，委托方应当执行。</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付款方式、依据</w:t>
            </w:r>
          </w:p>
        </w:tc>
        <w:tc>
          <w:tcPr>
            <w:tcW w:type="dxa" w:w="2076"/>
          </w:tcPr>
          <w:p>
            <w:pPr>
              <w:pStyle w:val="null3"/>
              <w:ind w:firstLine="400"/>
              <w:jc w:val="both"/>
            </w:pPr>
            <w:r>
              <w:rPr>
                <w:rFonts w:ascii="仿宋_GB2312" w:hAnsi="仿宋_GB2312" w:cs="仿宋_GB2312" w:eastAsia="仿宋_GB2312"/>
                <w:sz w:val="20"/>
              </w:rPr>
              <w:t>1、付款方式：</w:t>
            </w:r>
            <w:r>
              <w:rPr>
                <w:rFonts w:ascii="仿宋_GB2312" w:hAnsi="仿宋_GB2312" w:cs="仿宋_GB2312" w:eastAsia="仿宋_GB2312"/>
                <w:sz w:val="20"/>
              </w:rPr>
              <w:t>甲、乙双方约定阶段性支付，合同签订后甲方支付检测合同额的</w:t>
            </w:r>
            <w:r>
              <w:rPr>
                <w:rFonts w:ascii="仿宋_GB2312" w:hAnsi="仿宋_GB2312" w:cs="仿宋_GB2312" w:eastAsia="仿宋_GB2312"/>
                <w:sz w:val="20"/>
              </w:rPr>
              <w:t>20%，工程施工进度完成60%时，甲方再支付检测合同额的40%，工程全部完成后取最后一次报告前甲方一次性支付剩余检测费。甲方付款前，乙方应当开具符合甲方标准的税率为6%的足额增值税专用发票，否则甲方有权拒绝付款并不承担任何责任。</w:t>
            </w:r>
          </w:p>
          <w:p>
            <w:pPr>
              <w:pStyle w:val="null3"/>
              <w:ind w:firstLine="400"/>
              <w:jc w:val="both"/>
            </w:pPr>
            <w:r>
              <w:rPr>
                <w:rFonts w:ascii="仿宋_GB2312" w:hAnsi="仿宋_GB2312" w:cs="仿宋_GB2312" w:eastAsia="仿宋_GB2312"/>
                <w:sz w:val="20"/>
              </w:rPr>
              <w:t>2、付款依据：</w:t>
            </w:r>
            <w:r>
              <w:rPr>
                <w:rFonts w:ascii="仿宋_GB2312" w:hAnsi="仿宋_GB2312" w:cs="仿宋_GB2312" w:eastAsia="仿宋_GB2312"/>
                <w:sz w:val="20"/>
              </w:rPr>
              <w:t>乙方提供等额发票，甲方出具的验收报告。</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商务要求</w:t>
            </w:r>
          </w:p>
        </w:tc>
        <w:tc>
          <w:tcPr>
            <w:tcW w:type="dxa" w:w="2076"/>
          </w:tcPr>
          <w:p>
            <w:pPr>
              <w:pStyle w:val="null3"/>
              <w:ind w:firstLine="402"/>
              <w:jc w:val="both"/>
            </w:pPr>
            <w:r>
              <w:rPr>
                <w:rFonts w:ascii="仿宋_GB2312" w:hAnsi="仿宋_GB2312" w:cs="仿宋_GB2312" w:eastAsia="仿宋_GB2312"/>
                <w:sz w:val="20"/>
                <w:b/>
              </w:rPr>
              <w:t>（一）价格</w:t>
            </w:r>
          </w:p>
          <w:p>
            <w:pPr>
              <w:pStyle w:val="null3"/>
              <w:ind w:firstLine="400"/>
              <w:jc w:val="both"/>
            </w:pPr>
            <w:r>
              <w:rPr>
                <w:rFonts w:ascii="仿宋_GB2312" w:hAnsi="仿宋_GB2312" w:cs="仿宋_GB2312" w:eastAsia="仿宋_GB2312"/>
                <w:sz w:val="20"/>
              </w:rPr>
              <w:t>1、合同</w:t>
            </w:r>
            <w:r>
              <w:rPr>
                <w:rFonts w:ascii="仿宋_GB2312" w:hAnsi="仿宋_GB2312" w:cs="仿宋_GB2312" w:eastAsia="仿宋_GB2312"/>
                <w:sz w:val="20"/>
              </w:rPr>
              <w:t>总</w:t>
            </w:r>
            <w:r>
              <w:rPr>
                <w:rFonts w:ascii="仿宋_GB2312" w:hAnsi="仿宋_GB2312" w:cs="仿宋_GB2312" w:eastAsia="仿宋_GB2312"/>
                <w:sz w:val="20"/>
              </w:rPr>
              <w:t>价包括：服务费、售后服务费、利润、税金、保险、相关伴随费用等的一切费用。</w:t>
            </w:r>
          </w:p>
          <w:p>
            <w:pPr>
              <w:pStyle w:val="null3"/>
              <w:ind w:firstLine="400"/>
              <w:jc w:val="both"/>
            </w:pPr>
            <w:r>
              <w:rPr>
                <w:rFonts w:ascii="仿宋_GB2312" w:hAnsi="仿宋_GB2312" w:cs="仿宋_GB2312" w:eastAsia="仿宋_GB2312"/>
                <w:sz w:val="20"/>
              </w:rPr>
              <w:t>2、合同有效期内，合同</w:t>
            </w:r>
            <w:r>
              <w:rPr>
                <w:rFonts w:ascii="仿宋_GB2312" w:hAnsi="仿宋_GB2312" w:cs="仿宋_GB2312" w:eastAsia="仿宋_GB2312"/>
                <w:sz w:val="20"/>
              </w:rPr>
              <w:t>总</w:t>
            </w:r>
            <w:r>
              <w:rPr>
                <w:rFonts w:ascii="仿宋_GB2312" w:hAnsi="仿宋_GB2312" w:cs="仿宋_GB2312" w:eastAsia="仿宋_GB2312"/>
                <w:sz w:val="20"/>
              </w:rPr>
              <w:t>价一次包死，不受国家政策性调价或原材料价格变化及外汇汇率变化的影响，并作为最终结算的唯一依据。</w:t>
            </w:r>
          </w:p>
          <w:p>
            <w:pPr>
              <w:pStyle w:val="null3"/>
              <w:ind w:firstLine="400"/>
              <w:jc w:val="both"/>
            </w:pPr>
            <w:r>
              <w:rPr>
                <w:rFonts w:ascii="仿宋_GB2312" w:hAnsi="仿宋_GB2312" w:cs="仿宋_GB2312" w:eastAsia="仿宋_GB2312"/>
                <w:sz w:val="20"/>
              </w:rPr>
              <w:t>3、服务承诺：供应商应遵照国家规范规定的技术服务内容及要求作出明确承诺。</w:t>
            </w:r>
          </w:p>
          <w:p>
            <w:pPr>
              <w:pStyle w:val="null3"/>
              <w:ind w:firstLine="402"/>
              <w:jc w:val="both"/>
            </w:pPr>
            <w:r>
              <w:rPr>
                <w:rFonts w:ascii="仿宋_GB2312" w:hAnsi="仿宋_GB2312" w:cs="仿宋_GB2312" w:eastAsia="仿宋_GB2312"/>
                <w:sz w:val="20"/>
                <w:b/>
              </w:rPr>
              <w:t>（二）质量安排排查保密要求</w:t>
            </w:r>
          </w:p>
          <w:p>
            <w:pPr>
              <w:pStyle w:val="null3"/>
              <w:ind w:firstLine="400"/>
              <w:jc w:val="both"/>
            </w:pPr>
            <w:r>
              <w:rPr>
                <w:rFonts w:ascii="仿宋_GB2312" w:hAnsi="仿宋_GB2312" w:cs="仿宋_GB2312" w:eastAsia="仿宋_GB2312"/>
                <w:sz w:val="20"/>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w:t>
            </w:r>
            <w:r>
              <w:rPr>
                <w:rFonts w:ascii="仿宋_GB2312" w:hAnsi="仿宋_GB2312" w:cs="仿宋_GB2312" w:eastAsia="仿宋_GB2312"/>
                <w:sz w:val="20"/>
              </w:rPr>
              <w:t>(包括刑事责任)。</w:t>
            </w:r>
          </w:p>
          <w:p>
            <w:pPr>
              <w:pStyle w:val="null3"/>
              <w:ind w:firstLine="402"/>
              <w:jc w:val="both"/>
            </w:pPr>
            <w:r>
              <w:rPr>
                <w:rFonts w:ascii="仿宋_GB2312" w:hAnsi="仿宋_GB2312" w:cs="仿宋_GB2312" w:eastAsia="仿宋_GB2312"/>
                <w:sz w:val="20"/>
                <w:b/>
              </w:rPr>
              <w:t>（三）质量保证</w:t>
            </w:r>
          </w:p>
          <w:p>
            <w:pPr>
              <w:pStyle w:val="null3"/>
              <w:ind w:firstLine="400"/>
              <w:jc w:val="both"/>
            </w:pPr>
            <w:r>
              <w:rPr>
                <w:rFonts w:ascii="仿宋_GB2312" w:hAnsi="仿宋_GB2312" w:cs="仿宋_GB2312" w:eastAsia="仿宋_GB2312"/>
                <w:sz w:val="20"/>
              </w:rPr>
              <w:t>成交供应商保证服务质量完全符合合同规定的质量标准及国家有关规范和标准。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b/>
              </w:rPr>
              <w:t>四）验收</w:t>
            </w:r>
          </w:p>
          <w:p>
            <w:pPr>
              <w:pStyle w:val="null3"/>
              <w:ind w:firstLine="400"/>
              <w:jc w:val="both"/>
            </w:pPr>
            <w:r>
              <w:rPr>
                <w:rFonts w:ascii="仿宋_GB2312" w:hAnsi="仿宋_GB2312" w:cs="仿宋_GB2312" w:eastAsia="仿宋_GB2312"/>
                <w:sz w:val="20"/>
              </w:rPr>
              <w:t>1、成交供应商对最终的服务质量负完全责任。</w:t>
            </w:r>
          </w:p>
          <w:p>
            <w:pPr>
              <w:pStyle w:val="null3"/>
              <w:ind w:firstLine="400"/>
              <w:jc w:val="both"/>
            </w:pPr>
            <w:r>
              <w:rPr>
                <w:rFonts w:ascii="仿宋_GB2312" w:hAnsi="仿宋_GB2312" w:cs="仿宋_GB2312" w:eastAsia="仿宋_GB2312"/>
                <w:sz w:val="20"/>
              </w:rPr>
              <w:t>2、验收依据：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1）合同；</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2）国家有关的验收标准及规范；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3）竞争性磋商文件、竞争性磋商响应文件；</w:t>
            </w:r>
          </w:p>
          <w:p>
            <w:pPr>
              <w:pStyle w:val="null3"/>
              <w:ind w:firstLine="402"/>
              <w:jc w:val="both"/>
            </w:pPr>
            <w:r>
              <w:rPr>
                <w:rFonts w:ascii="仿宋_GB2312" w:hAnsi="仿宋_GB2312" w:cs="仿宋_GB2312" w:eastAsia="仿宋_GB2312"/>
                <w:sz w:val="20"/>
                <w:b/>
              </w:rPr>
              <w:t>（五）合同实施</w:t>
            </w:r>
          </w:p>
          <w:p>
            <w:pPr>
              <w:pStyle w:val="null3"/>
              <w:ind w:firstLine="400"/>
              <w:jc w:val="both"/>
            </w:pPr>
            <w:r>
              <w:rPr>
                <w:rFonts w:ascii="仿宋_GB2312" w:hAnsi="仿宋_GB2312" w:cs="仿宋_GB2312" w:eastAsia="仿宋_GB2312"/>
                <w:sz w:val="20"/>
              </w:rPr>
              <w:t>1、成交供应商应在合同签订后尽快安排人员与采购单位就服务工作进行安排、部署。</w:t>
            </w:r>
          </w:p>
          <w:p>
            <w:pPr>
              <w:pStyle w:val="null3"/>
              <w:ind w:firstLine="400"/>
              <w:jc w:val="both"/>
            </w:pPr>
            <w:r>
              <w:rPr>
                <w:rFonts w:ascii="仿宋_GB2312" w:hAnsi="仿宋_GB2312" w:cs="仿宋_GB2312" w:eastAsia="仿宋_GB2312"/>
                <w:sz w:val="20"/>
              </w:rPr>
              <w:t>2、若因成交供应商原因未能在服务期内完成合同规定的义务，由此对采购人造成的延误和一切损失，由成交单位人承担和赔偿。</w:t>
            </w:r>
          </w:p>
          <w:p>
            <w:pPr>
              <w:pStyle w:val="null3"/>
              <w:ind w:firstLine="402"/>
              <w:jc w:val="both"/>
            </w:pPr>
            <w:r>
              <w:rPr>
                <w:rFonts w:ascii="仿宋_GB2312" w:hAnsi="仿宋_GB2312" w:cs="仿宋_GB2312" w:eastAsia="仿宋_GB2312"/>
                <w:sz w:val="20"/>
                <w:b/>
              </w:rPr>
              <w:t>（六）</w:t>
            </w:r>
            <w:r>
              <w:rPr>
                <w:rFonts w:ascii="仿宋_GB2312" w:hAnsi="仿宋_GB2312" w:cs="仿宋_GB2312" w:eastAsia="仿宋_GB2312"/>
                <w:sz w:val="20"/>
                <w:b/>
              </w:rPr>
              <w:t>检测</w:t>
            </w:r>
            <w:r>
              <w:rPr>
                <w:rFonts w:ascii="仿宋_GB2312" w:hAnsi="仿宋_GB2312" w:cs="仿宋_GB2312" w:eastAsia="仿宋_GB2312"/>
                <w:sz w:val="20"/>
                <w:b/>
              </w:rPr>
              <w:t>服务期</w:t>
            </w:r>
          </w:p>
          <w:p>
            <w:pPr>
              <w:pStyle w:val="null3"/>
              <w:ind w:firstLine="400"/>
              <w:jc w:val="both"/>
            </w:pPr>
            <w:r>
              <w:rPr>
                <w:rFonts w:ascii="仿宋_GB2312" w:hAnsi="仿宋_GB2312" w:cs="仿宋_GB2312" w:eastAsia="仿宋_GB2312"/>
                <w:sz w:val="20"/>
              </w:rPr>
              <w:t>自接到甲方委托之日起</w:t>
            </w:r>
            <w:r>
              <w:rPr>
                <w:rFonts w:ascii="仿宋_GB2312" w:hAnsi="仿宋_GB2312" w:cs="仿宋_GB2312" w:eastAsia="仿宋_GB2312"/>
                <w:sz w:val="20"/>
              </w:rPr>
              <w:t>至项目竣工验收后</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（七）检测项目清单</w:t>
            </w:r>
          </w:p>
          <w:tbl>
            <w:tblPr>
              <w:tblInd w:type="dxa" w:w="210"/>
              <w:tblBorders>
                <w:top w:val="none" w:color="000000" w:sz="4"/>
                <w:left w:val="none" w:color="000000" w:sz="4"/>
                <w:bottom w:val="none" w:color="000000" w:sz="4"/>
                <w:right w:val="none" w:color="000000" w:sz="4"/>
                <w:insideH w:val="none"/>
                <w:insideV w:val="none"/>
              </w:tblBorders>
            </w:tblPr>
            <w:tblGrid>
              <w:gridCol w:w="490"/>
              <w:gridCol w:w="393"/>
              <w:gridCol w:w="472"/>
              <w:gridCol w:w="374"/>
              <w:gridCol w:w="1516"/>
            </w:tblGrid>
            <w:tr>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检测部位</w:t>
                  </w:r>
                </w:p>
              </w:tc>
              <w:tc>
                <w:tcPr>
                  <w:tcW w:type="dxa" w:w="123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both"/>
                  </w:pPr>
                  <w:r>
                    <w:rPr>
                      <w:rFonts w:ascii="仿宋_GB2312" w:hAnsi="仿宋_GB2312" w:cs="仿宋_GB2312" w:eastAsia="仿宋_GB2312"/>
                      <w:sz w:val="20"/>
                      <w:b/>
                    </w:rPr>
                    <w:t>分部分项</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both"/>
                  </w:pPr>
                  <w:r>
                    <w:rPr>
                      <w:rFonts w:ascii="仿宋_GB2312" w:hAnsi="仿宋_GB2312" w:cs="仿宋_GB2312" w:eastAsia="仿宋_GB2312"/>
                      <w:sz w:val="20"/>
                      <w:b/>
                    </w:rPr>
                    <w:t>检测项目</w:t>
                  </w:r>
                </w:p>
              </w:tc>
            </w:tr>
            <w:tr>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道路工程</w:t>
                  </w:r>
                </w:p>
              </w:tc>
              <w:tc>
                <w:tcPr>
                  <w:tcW w:type="dxa" w:w="3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沥青面层</w:t>
                  </w: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细粒式沥青混凝土</w:t>
                  </w:r>
                </w:p>
              </w:tc>
              <w:tc>
                <w:tcPr>
                  <w:tcW w:type="dxa" w:w="3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室内试验</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原材</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singl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马歇尔试验</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singl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抽提试验</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现场检测</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弯沉</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厚度</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压实度</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平整度</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摩擦系数</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构造深度</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中粒式沥青混凝土</w:t>
                  </w:r>
                </w:p>
              </w:tc>
              <w:tc>
                <w:tcPr>
                  <w:tcW w:type="dxa" w:w="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室内试验</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原材</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马歇尔试验</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抽提试验</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现场检测</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厚度</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压实度</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平整度</w:t>
                  </w:r>
                </w:p>
              </w:tc>
            </w:tr>
            <w:tr>
              <w:tc>
                <w:tcPr>
                  <w:tcW w:type="dxa" w:w="490"/>
                  <w:vMerge/>
                  <w:tcBorders>
                    <w:top w:val="none" w:color="000000" w:sz="4"/>
                    <w:left w:val="single" w:color="000000" w:sz="4"/>
                    <w:bottom w:val="single" w:color="000000" w:sz="4"/>
                    <w:right w:val="single" w:color="000000" w:sz="4"/>
                  </w:tcBorders>
                </w:tcPr>
                <w:p/>
              </w:tc>
              <w:tc>
                <w:tcPr>
                  <w:tcW w:type="dxa" w:w="3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基层及</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底基层</w:t>
                  </w: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水泥稳定碎石</w:t>
                  </w:r>
                </w:p>
              </w:tc>
              <w:tc>
                <w:tcPr>
                  <w:tcW w:type="dxa" w:w="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室内试验</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混合料的水泥剂量</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混合料</w:t>
                  </w:r>
                  <w:r>
                    <w:rPr>
                      <w:rFonts w:ascii="仿宋_GB2312" w:hAnsi="仿宋_GB2312" w:cs="仿宋_GB2312" w:eastAsia="仿宋_GB2312"/>
                      <w:sz w:val="20"/>
                      <w:color w:val="000000"/>
                    </w:rPr>
                    <w:t>7天无侧限抗压强度</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现场检测</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钻芯取样（板结、厚度）</w:t>
                  </w:r>
                </w:p>
              </w:tc>
            </w:tr>
            <w:tr>
              <w:tc>
                <w:tcPr>
                  <w:tcW w:type="dxa" w:w="490"/>
                  <w:vMerge/>
                  <w:tcBorders>
                    <w:top w:val="none" w:color="000000" w:sz="4"/>
                    <w:left w:val="single" w:color="000000" w:sz="4"/>
                    <w:bottom w:val="single" w:color="000000" w:sz="4"/>
                    <w:right w:val="single" w:color="000000" w:sz="4"/>
                  </w:tcBorders>
                </w:tcPr>
                <w:p/>
              </w:tc>
              <w:tc>
                <w:tcPr>
                  <w:tcW w:type="dxa" w:w="3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路基</w:t>
                  </w: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路床</w:t>
                  </w:r>
                </w:p>
              </w:tc>
              <w:tc>
                <w:tcPr>
                  <w:tcW w:type="dxa" w:w="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室内试验</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素土击实（重型）</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素土液塑限</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石灰</w:t>
                  </w:r>
                  <w:r>
                    <w:rPr>
                      <w:rFonts w:ascii="仿宋_GB2312" w:hAnsi="仿宋_GB2312" w:cs="仿宋_GB2312" w:eastAsia="仿宋_GB2312"/>
                      <w:sz w:val="20"/>
                      <w:color w:val="000000"/>
                    </w:rPr>
                    <w:t>/水泥试验</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石灰</w:t>
                  </w:r>
                  <w:r>
                    <w:rPr>
                      <w:rFonts w:ascii="仿宋_GB2312" w:hAnsi="仿宋_GB2312" w:cs="仿宋_GB2312" w:eastAsia="仿宋_GB2312"/>
                      <w:sz w:val="20"/>
                      <w:color w:val="000000"/>
                    </w:rPr>
                    <w:t>/水泥土标准击实（重型）</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石灰</w:t>
                  </w:r>
                  <w:r>
                    <w:rPr>
                      <w:rFonts w:ascii="仿宋_GB2312" w:hAnsi="仿宋_GB2312" w:cs="仿宋_GB2312" w:eastAsia="仿宋_GB2312"/>
                      <w:sz w:val="20"/>
                      <w:color w:val="000000"/>
                    </w:rPr>
                    <w:t>/水泥土标准曲线</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灰</w:t>
                  </w:r>
                  <w:r>
                    <w:rPr>
                      <w:rFonts w:ascii="仿宋_GB2312" w:hAnsi="仿宋_GB2312" w:cs="仿宋_GB2312" w:eastAsia="仿宋_GB2312"/>
                      <w:sz w:val="20"/>
                      <w:color w:val="000000"/>
                    </w:rPr>
                    <w:t>/水泥剂量</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玻璃纤维格栅（强度、伸长率）</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土工布（强度、伸长率）</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现场检测</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弯沉检测</w:t>
                  </w:r>
                </w:p>
              </w:tc>
            </w:tr>
            <w:tr>
              <w:tc>
                <w:tcPr>
                  <w:tcW w:type="dxa" w:w="490"/>
                  <w:vMerge/>
                  <w:tcBorders>
                    <w:top w:val="none" w:color="000000" w:sz="4"/>
                    <w:left w:val="single" w:color="000000" w:sz="4"/>
                    <w:bottom w:val="single" w:color="000000" w:sz="4"/>
                    <w:right w:val="single" w:color="000000" w:sz="4"/>
                  </w:tcBorders>
                </w:tcP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基层</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混凝土基层</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室内检验</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混凝土试块抗压强度</w:t>
                  </w:r>
                </w:p>
              </w:tc>
            </w:tr>
            <w:tr>
              <w:tc>
                <w:tcPr>
                  <w:tcW w:type="dxa" w:w="490"/>
                  <w:vMerge/>
                  <w:tcBorders>
                    <w:top w:val="none" w:color="000000" w:sz="4"/>
                    <w:left w:val="single" w:color="000000" w:sz="4"/>
                    <w:bottom w:val="single" w:color="000000" w:sz="4"/>
                    <w:right w:val="single" w:color="000000" w:sz="4"/>
                  </w:tcBorders>
                </w:tcPr>
                <w:p/>
              </w:tc>
              <w:tc>
                <w:tcPr>
                  <w:tcW w:type="dxa" w:w="3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底基层</w:t>
                  </w: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水泥稳定碎石</w:t>
                  </w:r>
                </w:p>
              </w:tc>
              <w:tc>
                <w:tcPr>
                  <w:tcW w:type="dxa" w:w="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室内试验</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混合料的水泥剂量</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混合料</w:t>
                  </w:r>
                  <w:r>
                    <w:rPr>
                      <w:rFonts w:ascii="仿宋_GB2312" w:hAnsi="仿宋_GB2312" w:cs="仿宋_GB2312" w:eastAsia="仿宋_GB2312"/>
                      <w:sz w:val="20"/>
                      <w:color w:val="000000"/>
                    </w:rPr>
                    <w:t>7天无侧限抗压强度</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现场检测</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钻芯取样（板结、厚度）</w:t>
                  </w:r>
                </w:p>
              </w:tc>
            </w:tr>
            <w:tr>
              <w:tc>
                <w:tcPr>
                  <w:tcW w:type="dxa" w:w="490"/>
                  <w:vMerge/>
                  <w:tcBorders>
                    <w:top w:val="none" w:color="000000" w:sz="4"/>
                    <w:left w:val="single" w:color="000000" w:sz="4"/>
                    <w:bottom w:val="single" w:color="000000" w:sz="4"/>
                    <w:right w:val="single" w:color="000000" w:sz="4"/>
                  </w:tcBorders>
                </w:tcPr>
                <w:p/>
              </w:tc>
              <w:tc>
                <w:tcPr>
                  <w:tcW w:type="dxa" w:w="3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路基</w:t>
                  </w: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路床</w:t>
                  </w:r>
                </w:p>
              </w:tc>
              <w:tc>
                <w:tcPr>
                  <w:tcW w:type="dxa" w:w="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室内试验</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素土击实（重型）</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素土液塑限</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石灰</w:t>
                  </w:r>
                  <w:r>
                    <w:rPr>
                      <w:rFonts w:ascii="仿宋_GB2312" w:hAnsi="仿宋_GB2312" w:cs="仿宋_GB2312" w:eastAsia="仿宋_GB2312"/>
                      <w:sz w:val="20"/>
                      <w:color w:val="000000"/>
                    </w:rPr>
                    <w:t>/水泥</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石灰</w:t>
                  </w:r>
                  <w:r>
                    <w:rPr>
                      <w:rFonts w:ascii="仿宋_GB2312" w:hAnsi="仿宋_GB2312" w:cs="仿宋_GB2312" w:eastAsia="仿宋_GB2312"/>
                      <w:sz w:val="20"/>
                      <w:color w:val="000000"/>
                    </w:rPr>
                    <w:t>/水泥土标准击实（重型）</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灰</w:t>
                  </w:r>
                  <w:r>
                    <w:rPr>
                      <w:rFonts w:ascii="仿宋_GB2312" w:hAnsi="仿宋_GB2312" w:cs="仿宋_GB2312" w:eastAsia="仿宋_GB2312"/>
                      <w:sz w:val="20"/>
                      <w:color w:val="000000"/>
                    </w:rPr>
                    <w:t>/水泥剂量标准曲线</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石灰</w:t>
                  </w:r>
                  <w:r>
                    <w:rPr>
                      <w:rFonts w:ascii="仿宋_GB2312" w:hAnsi="仿宋_GB2312" w:cs="仿宋_GB2312" w:eastAsia="仿宋_GB2312"/>
                      <w:sz w:val="20"/>
                      <w:color w:val="000000"/>
                    </w:rPr>
                    <w:t>/水泥剂量</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现场检测</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弯沉检测</w:t>
                  </w:r>
                </w:p>
              </w:tc>
            </w:tr>
            <w:tr>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附属构筑物</w:t>
                  </w:r>
                </w:p>
              </w:tc>
              <w:tc>
                <w:tcPr>
                  <w:tcW w:type="dxa" w:w="3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路缘石</w:t>
                  </w: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路缘石</w:t>
                  </w:r>
                </w:p>
              </w:tc>
              <w:tc>
                <w:tcPr>
                  <w:tcW w:type="dxa" w:w="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室内试验</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砂浆（原材、配合比）</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砂浆试块抗压强度</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乙式路缘石抗压抗折（花岗岩）</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丁式路缘石抗压抗折（花岗岩）</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平石（花岗岩）</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混凝土靠背配比</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混凝土试块抗压强度</w:t>
                  </w:r>
                </w:p>
              </w:tc>
            </w:tr>
            <w:tr>
              <w:tc>
                <w:tcPr>
                  <w:tcW w:type="dxa" w:w="490"/>
                  <w:vMerge/>
                  <w:tcBorders>
                    <w:top w:val="none" w:color="000000" w:sz="4"/>
                    <w:left w:val="single" w:color="000000" w:sz="4"/>
                    <w:bottom w:val="single" w:color="000000" w:sz="4"/>
                    <w:right w:val="single" w:color="000000" w:sz="4"/>
                  </w:tcBorders>
                </w:tcP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雨水支管与雨水口</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雨水口</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室内试验</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烧结普通砖</w:t>
                  </w:r>
                </w:p>
              </w:tc>
            </w:tr>
            <w:tr>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管道工程</w:t>
                  </w:r>
                </w:p>
              </w:tc>
              <w:tc>
                <w:tcPr>
                  <w:tcW w:type="dxa" w:w="3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检查井及沟槽回填</w:t>
                  </w: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检查井及沟槽回填</w:t>
                  </w:r>
                </w:p>
              </w:tc>
              <w:tc>
                <w:tcPr>
                  <w:tcW w:type="dxa" w:w="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室内试验</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3:7灰土石灰剂量</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素土标准击实（轻型）</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钢筋原材（拉伸、弯曲性能）</w:t>
                  </w:r>
                </w:p>
              </w:tc>
            </w:tr>
            <w:tr>
              <w:tc>
                <w:tcPr>
                  <w:tcW w:type="dxa" w:w="490"/>
                  <w:vMerge/>
                  <w:tcBorders>
                    <w:top w:val="none" w:color="000000" w:sz="4"/>
                    <w:left w:val="single" w:color="000000" w:sz="4"/>
                    <w:bottom w:val="single" w:color="000000" w:sz="4"/>
                    <w:right w:val="single" w:color="000000" w:sz="4"/>
                  </w:tcBorders>
                </w:tcPr>
                <w:p/>
              </w:tc>
              <w:tc>
                <w:tcPr>
                  <w:tcW w:type="dxa" w:w="3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原材料</w:t>
                  </w: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原材料</w:t>
                  </w:r>
                </w:p>
              </w:tc>
              <w:tc>
                <w:tcPr>
                  <w:tcW w:type="dxa" w:w="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室内试验</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烧结普通砖</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水泥原材</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砂子原材</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水泥砂浆配合比</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砂浆抗压强度</w:t>
                  </w:r>
                </w:p>
              </w:tc>
            </w:tr>
            <w:tr>
              <w:tc>
                <w:tcPr>
                  <w:tcW w:type="dxa" w:w="490"/>
                  <w:vMerge/>
                  <w:tcBorders>
                    <w:top w:val="none" w:color="000000" w:sz="4"/>
                    <w:left w:val="single" w:color="000000" w:sz="4"/>
                    <w:bottom w:val="single" w:color="000000" w:sz="4"/>
                    <w:right w:val="single" w:color="000000" w:sz="4"/>
                  </w:tcBorders>
                </w:tcPr>
                <w:p/>
              </w:tc>
              <w:tc>
                <w:tcPr>
                  <w:tcW w:type="dxa" w:w="3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管件</w:t>
                  </w: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管材</w:t>
                  </w:r>
                </w:p>
              </w:tc>
              <w:tc>
                <w:tcPr>
                  <w:tcW w:type="dxa" w:w="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室内试验</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爬梯</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检查井井盖</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雨水口篦子（球墨铸铁、复合材料、混凝土）</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密封橡胶圈</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钢带增强波纹管（外观、颜色、尺寸、环刚度、环柔度）</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PE）给水管（静液压强度、纵向回缩率）</w:t>
                  </w:r>
                </w:p>
              </w:tc>
            </w:tr>
            <w:tr>
              <w:tc>
                <w:tcPr>
                  <w:tcW w:type="dxa" w:w="490"/>
                  <w:vMerge/>
                  <w:tcBorders>
                    <w:top w:val="none" w:color="000000" w:sz="4"/>
                    <w:left w:val="single" w:color="000000" w:sz="4"/>
                    <w:bottom w:val="single" w:color="000000" w:sz="4"/>
                    <w:right w:val="single" w:color="000000" w:sz="4"/>
                  </w:tcBorders>
                </w:tcPr>
                <w:p/>
              </w:tc>
              <w:tc>
                <w:tcPr>
                  <w:tcW w:type="dxa" w:w="393"/>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现场检测</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混凝土管材强度回弹</w:t>
                  </w:r>
                </w:p>
              </w:tc>
            </w:tr>
            <w:tr>
              <w:tc>
                <w:tcPr>
                  <w:tcW w:type="dxa" w:w="49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交通照明</w:t>
                  </w:r>
                </w:p>
              </w:tc>
              <w:tc>
                <w:tcPr>
                  <w:tcW w:type="dxa" w:w="865"/>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照明</w:t>
                  </w:r>
                </w:p>
              </w:tc>
              <w:tc>
                <w:tcPr>
                  <w:tcW w:type="dxa" w:w="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现场检测</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电阻测试</w:t>
                  </w:r>
                </w:p>
              </w:tc>
            </w:tr>
            <w:tr>
              <w:tc>
                <w:tcPr>
                  <w:tcW w:type="dxa" w:w="490"/>
                  <w:vMerge/>
                  <w:tcBorders>
                    <w:top w:val="none" w:color="000000" w:sz="4"/>
                    <w:left w:val="single" w:color="000000" w:sz="4"/>
                    <w:bottom w:val="none" w:color="000000" w:sz="4"/>
                    <w:right w:val="single" w:color="000000" w:sz="4"/>
                  </w:tcBorders>
                </w:tcPr>
                <w:p/>
              </w:tc>
              <w:tc>
                <w:tcPr>
                  <w:tcW w:type="dxa" w:w="865"/>
                  <w:gridSpan w:val="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singl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照度、亮度</w:t>
                  </w:r>
                </w:p>
              </w:tc>
            </w:tr>
            <w:tr>
              <w:tc>
                <w:tcPr>
                  <w:tcW w:type="dxa" w:w="490"/>
                  <w:vMerge/>
                  <w:tcBorders>
                    <w:top w:val="none" w:color="000000" w:sz="4"/>
                    <w:left w:val="single" w:color="000000" w:sz="4"/>
                    <w:bottom w:val="none" w:color="000000" w:sz="4"/>
                    <w:right w:val="single" w:color="000000" w:sz="4"/>
                  </w:tcBorders>
                </w:tcPr>
                <w:p/>
              </w:tc>
              <w:tc>
                <w:tcPr>
                  <w:tcW w:type="dxa" w:w="865"/>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交通工程</w:t>
                  </w:r>
                </w:p>
              </w:tc>
              <w:tc>
                <w:tcPr>
                  <w:tcW w:type="dxa" w:w="37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现场检测</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标线厚度</w:t>
                  </w:r>
                </w:p>
              </w:tc>
            </w:tr>
            <w:tr>
              <w:tc>
                <w:tcPr>
                  <w:tcW w:type="dxa" w:w="490"/>
                  <w:vMerge/>
                  <w:tcBorders>
                    <w:top w:val="none" w:color="000000" w:sz="4"/>
                    <w:left w:val="single" w:color="000000" w:sz="4"/>
                    <w:bottom w:val="none" w:color="000000" w:sz="4"/>
                    <w:right w:val="single" w:color="000000" w:sz="4"/>
                  </w:tcBorders>
                </w:tcPr>
                <w:p/>
              </w:tc>
              <w:tc>
                <w:tcPr>
                  <w:tcW w:type="dxa" w:w="865"/>
                  <w:gridSpan w:val="2"/>
                  <w:vMerge/>
                  <w:tcBorders>
                    <w:top w:val="none" w:color="000000" w:sz="4"/>
                    <w:left w:val="none" w:color="000000" w:sz="4"/>
                    <w:bottom w:val="single" w:color="000000" w:sz="4"/>
                    <w:right w:val="single" w:color="000000" w:sz="4"/>
                  </w:tcBorders>
                </w:tcPr>
                <w:p/>
              </w:tc>
              <w:tc>
                <w:tcPr>
                  <w:tcW w:type="dxa" w:w="374"/>
                  <w:vMerge/>
                  <w:tcBorders>
                    <w:top w:val="none" w:color="000000" w:sz="4"/>
                    <w:left w:val="none" w:color="000000" w:sz="4"/>
                    <w:bottom w:val="none" w:color="000000" w:sz="4"/>
                    <w:right w:val="single" w:color="000000" w:sz="4"/>
                  </w:tcBorders>
                </w:tcP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标线逆反射系数</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1、供应商提供的服务，必须是符合国家有关标准要求，并满足磋商文件规定的价格、完成期限、售后服务及供应商须承担的技术支持和磋商文件规定的其它伴随服务等要求。 2、采购人有权拒绝接受任何不合格的服务，由此产生的费用及相关后果均由供应商自行承担。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自接到甲方委托之日起至项目竣工验收后。</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1、成交供应商对最终的服务质量负完全责任。 2、验收依据： （1）合同； （2）国家有关的验收标准及规范； （3）竞争性磋商文件、竞争性磋商响应文件。 3、符合采购人要求。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甲、乙双方约定阶段性支付，合同签订后甲方支付第一笔合同款项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工程施工进度完成60%时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工程全部完成后取最后一次报告前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因甲方未履行义务而造成乙方无法按时保质地完成检测业务的，甲方应当承担相应的经济损失，并赔偿由此给乙方造成的损失，完成检测业务的时限应当顺延。2、因乙方未履行义务而给甲方造成损失的，乙方应当承担相应的赔偿责任，完成检测业务的时限由双方另行约定；基于前述原因委托方损失于本合同执行完结后产生的，委托方有权继续向受托方主张赔偿，赔偿范围包括但不限于委托方实际损失以及诉讼费、律师费、鉴定费、公证费、保全费、保险费等委托方实现权利的合理支出。 （二）争议解决 双方在履行本合同时如发生争议，应本着实事求是、友好协商的原则解决，如协商不成时，双方均有权向甲方所在地有管辖权的人民法院提起诉讼。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竞争性磋商响应文件，提交最终报价。成交通知书发出后，成交供应商须向采购人提交竞争性磋商响应文件纸质版一正一副（纸质版响应文件与电子版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供应商具备建设工程质量检测机构资质证书（检测范围含市政道路相关检测内容）及与检测资质相对应的计量认证（CMA认证）证书且在有效期之内，检验检测能力附表有相应检测项目。</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或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拟投入本项目的人员配置情况表.docx 中小企业声明函 拟投入本项目的检测仪器设备情况表.docx 报价表 供应商认为应提交的相关资格证明材料.docx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拟投入本项目的人员配置情况表.docx 中小企业声明函 拟投入本项目的检测仪器设备情况表.docx 报价表 供应商认为应提交的相关资格证明材料.docx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商务、服务内容偏离表、技术响应偏差表.docx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拟投入本项目的人员配置情况表.docx 中小企业声明函 拟投入本项目的检测仪器设备情况表.docx 报价表 供应商认为应提交的相关资格证明材料.docx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提供2022年以来类似项目业绩合同（以合同签订时间为准），每份计2分，满分10分。 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拟投入本项目的检测仪器设备情况表.docx</w:t>
            </w:r>
          </w:p>
          <w:p>
            <w:pPr>
              <w:pStyle w:val="null3"/>
            </w:pPr>
            <w:r>
              <w:rPr>
                <w:rFonts w:ascii="仿宋_GB2312" w:hAnsi="仿宋_GB2312" w:cs="仿宋_GB2312" w:eastAsia="仿宋_GB2312"/>
              </w:rPr>
              <w:t>供应商近三年类似项目业绩证明材料.docx</w:t>
            </w:r>
          </w:p>
        </w:tc>
      </w:tr>
      <w:tr>
        <w:tc>
          <w:tcPr>
            <w:tcW w:type="dxa" w:w="831"/>
            <w:vMerge/>
          </w:tcPr>
          <w:p/>
        </w:tc>
        <w:tc>
          <w:tcPr>
            <w:tcW w:type="dxa" w:w="1661"/>
          </w:tcPr>
          <w:p>
            <w:pPr>
              <w:pStyle w:val="null3"/>
            </w:pPr>
            <w:r>
              <w:rPr>
                <w:rFonts w:ascii="仿宋_GB2312" w:hAnsi="仿宋_GB2312" w:cs="仿宋_GB2312" w:eastAsia="仿宋_GB2312"/>
              </w:rPr>
              <w:t>检测实施方案</w:t>
            </w:r>
          </w:p>
        </w:tc>
        <w:tc>
          <w:tcPr>
            <w:tcW w:type="dxa" w:w="2492"/>
          </w:tcPr>
          <w:p>
            <w:pPr>
              <w:pStyle w:val="null3"/>
            </w:pPr>
            <w:r>
              <w:rPr>
                <w:rFonts w:ascii="仿宋_GB2312" w:hAnsi="仿宋_GB2312" w:cs="仿宋_GB2312" w:eastAsia="仿宋_GB2312"/>
              </w:rPr>
              <w:t>供应商根据采购人的需求和项目具体内容并结合自身情况制定详尽、完善的检测实施方案，本项满分12分；方案完整、可操作性强、细节考虑到位的计8～12（含）分；方案基本完整，有相对的可操作性，描述良好的计4～8（含）分；方案描述符合磋商文件要求，内容一般的计0～4（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拟投入本项目的检测仪器设备情况表.docx</w:t>
            </w:r>
          </w:p>
        </w:tc>
      </w:tr>
      <w:tr>
        <w:tc>
          <w:tcPr>
            <w:tcW w:type="dxa" w:w="831"/>
            <w:vMerge/>
          </w:tcPr>
          <w:p/>
        </w:tc>
        <w:tc>
          <w:tcPr>
            <w:tcW w:type="dxa" w:w="1661"/>
          </w:tcPr>
          <w:p>
            <w:pPr>
              <w:pStyle w:val="null3"/>
            </w:pPr>
            <w:r>
              <w:rPr>
                <w:rFonts w:ascii="仿宋_GB2312" w:hAnsi="仿宋_GB2312" w:cs="仿宋_GB2312" w:eastAsia="仿宋_GB2312"/>
              </w:rPr>
              <w:t>服务质量的技术组织措施</w:t>
            </w:r>
          </w:p>
        </w:tc>
        <w:tc>
          <w:tcPr>
            <w:tcW w:type="dxa" w:w="2492"/>
          </w:tcPr>
          <w:p>
            <w:pPr>
              <w:pStyle w:val="null3"/>
            </w:pPr>
            <w:r>
              <w:rPr>
                <w:rFonts w:ascii="仿宋_GB2312" w:hAnsi="仿宋_GB2312" w:cs="仿宋_GB2312" w:eastAsia="仿宋_GB2312"/>
              </w:rPr>
              <w:t>确保本项目服务质量的技术组织措施，包含但不限于质量控制措施、检测报告的准确性、符合国家相关标准规范的相关要求，本项满分10分；措施描述完整、可操作性强、细节描述详细优越的计7～10（含）分；有相对的操作性，描述良好的计4～7（含）分；内容一般的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拟投入本项目的检测仪器设备情况表.docx</w:t>
            </w:r>
          </w:p>
        </w:tc>
      </w:tr>
      <w:tr>
        <w:tc>
          <w:tcPr>
            <w:tcW w:type="dxa" w:w="831"/>
            <w:vMerge/>
          </w:tcPr>
          <w:p/>
        </w:tc>
        <w:tc>
          <w:tcPr>
            <w:tcW w:type="dxa" w:w="1661"/>
          </w:tcPr>
          <w:p>
            <w:pPr>
              <w:pStyle w:val="null3"/>
            </w:pPr>
            <w:r>
              <w:rPr>
                <w:rFonts w:ascii="仿宋_GB2312" w:hAnsi="仿宋_GB2312" w:cs="仿宋_GB2312" w:eastAsia="仿宋_GB2312"/>
              </w:rPr>
              <w:t>安全的技术组织措施</w:t>
            </w:r>
          </w:p>
        </w:tc>
        <w:tc>
          <w:tcPr>
            <w:tcW w:type="dxa" w:w="2492"/>
          </w:tcPr>
          <w:p>
            <w:pPr>
              <w:pStyle w:val="null3"/>
            </w:pPr>
            <w:r>
              <w:rPr>
                <w:rFonts w:ascii="仿宋_GB2312" w:hAnsi="仿宋_GB2312" w:cs="仿宋_GB2312" w:eastAsia="仿宋_GB2312"/>
              </w:rPr>
              <w:t>确保本项目安全的技术组织措施，本项满分10分；措施描述完整、可操作性强、细节描述详细优越的计7～10（含）分；有相对的操作性，描述良好计4～7（含）分；内容一般的计0～4（含）分。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拟投入本项目的检测仪器设备情况表.docx</w:t>
            </w:r>
          </w:p>
        </w:tc>
      </w:tr>
      <w:tr>
        <w:tc>
          <w:tcPr>
            <w:tcW w:type="dxa" w:w="831"/>
            <w:vMerge/>
          </w:tcPr>
          <w:p/>
        </w:tc>
        <w:tc>
          <w:tcPr>
            <w:tcW w:type="dxa" w:w="1661"/>
          </w:tcPr>
          <w:p>
            <w:pPr>
              <w:pStyle w:val="null3"/>
            </w:pPr>
            <w:r>
              <w:rPr>
                <w:rFonts w:ascii="仿宋_GB2312" w:hAnsi="仿宋_GB2312" w:cs="仿宋_GB2312" w:eastAsia="仿宋_GB2312"/>
              </w:rPr>
              <w:t>检测服务进度保障措施</w:t>
            </w:r>
          </w:p>
        </w:tc>
        <w:tc>
          <w:tcPr>
            <w:tcW w:type="dxa" w:w="2492"/>
          </w:tcPr>
          <w:p>
            <w:pPr>
              <w:pStyle w:val="null3"/>
            </w:pPr>
            <w:r>
              <w:rPr>
                <w:rFonts w:ascii="仿宋_GB2312" w:hAnsi="仿宋_GB2312" w:cs="仿宋_GB2312" w:eastAsia="仿宋_GB2312"/>
              </w:rPr>
              <w:t>确保检测服务进度保障措施，本项满分8分；措施描述完整、可操作性强、细节描述详细优越的计5～8（含）分；有相对的操作性，描述良好计3～5（含）分；内容一般的计0～3（含）分。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拟投入本项目的检测仪器设备情况表.docx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有完善的工程质量检测制度、检验档案管理制度及责任追究等管理制度，根据响应内容程度计0～5分,本项满分5分。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拟投入本项目的检测仪器设备情况表.docx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项目负责人具有工程类相关专业高级及以上职称得2分，具有工程类相关专业中级职称得1分。 注：项目负责人须在本单位缴纳社保，并提供社保缴纳证明材料（加盖单位公章）。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拟投入本项目的检测仪器设备情况表.docx</w:t>
            </w:r>
          </w:p>
        </w:tc>
      </w:tr>
      <w:tr>
        <w:tc>
          <w:tcPr>
            <w:tcW w:type="dxa" w:w="831"/>
            <w:vMerge/>
          </w:tcPr>
          <w:p/>
        </w:tc>
        <w:tc>
          <w:tcPr>
            <w:tcW w:type="dxa" w:w="1661"/>
          </w:tcPr>
          <w:p>
            <w:pPr>
              <w:pStyle w:val="null3"/>
            </w:pPr>
            <w:r>
              <w:rPr>
                <w:rFonts w:ascii="仿宋_GB2312" w:hAnsi="仿宋_GB2312" w:cs="仿宋_GB2312" w:eastAsia="仿宋_GB2312"/>
              </w:rPr>
              <w:t>人员设置及人员分工</w:t>
            </w:r>
          </w:p>
        </w:tc>
        <w:tc>
          <w:tcPr>
            <w:tcW w:type="dxa" w:w="2492"/>
          </w:tcPr>
          <w:p>
            <w:pPr>
              <w:pStyle w:val="null3"/>
            </w:pPr>
            <w:r>
              <w:rPr>
                <w:rFonts w:ascii="仿宋_GB2312" w:hAnsi="仿宋_GB2312" w:cs="仿宋_GB2312" w:eastAsia="仿宋_GB2312"/>
              </w:rPr>
              <w:t>人员设置及人员分工安排合理、职责划分明确，具备能承担检测任务的专业人员，根据人员数量、专业程度、工作经验等进行赋分，本项满分10分。人员配备合理，工作人员专业水平优越，计7～10（含）分；人员配备较合理，工作人员专业水平良好，计4～7（含）分；人员配备基本完善、专业水平一般，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拟投入本项目的检测仪器设备情况表.docx</w:t>
            </w:r>
          </w:p>
        </w:tc>
      </w:tr>
      <w:tr>
        <w:tc>
          <w:tcPr>
            <w:tcW w:type="dxa" w:w="831"/>
            <w:vMerge/>
          </w:tcPr>
          <w:p/>
        </w:tc>
        <w:tc>
          <w:tcPr>
            <w:tcW w:type="dxa" w:w="1661"/>
          </w:tcPr>
          <w:p>
            <w:pPr>
              <w:pStyle w:val="null3"/>
            </w:pPr>
            <w:r>
              <w:rPr>
                <w:rFonts w:ascii="仿宋_GB2312" w:hAnsi="仿宋_GB2312" w:cs="仿宋_GB2312" w:eastAsia="仿宋_GB2312"/>
              </w:rPr>
              <w:t>检测仪器设备情况</w:t>
            </w:r>
          </w:p>
        </w:tc>
        <w:tc>
          <w:tcPr>
            <w:tcW w:type="dxa" w:w="2492"/>
          </w:tcPr>
          <w:p>
            <w:pPr>
              <w:pStyle w:val="null3"/>
            </w:pPr>
            <w:r>
              <w:rPr>
                <w:rFonts w:ascii="仿宋_GB2312" w:hAnsi="仿宋_GB2312" w:cs="仿宋_GB2312" w:eastAsia="仿宋_GB2312"/>
              </w:rPr>
              <w:t>根据供应商拟投入的检测仪器设备情况进行赋分，本项满分10分；设备配备合理，先进性、安全性及稳定性强计7～10（含）分；配备较合理，先进性、安全性及稳定性较强计4～7（含）分；配备一般，先进性、安全性及稳定性一般计0～4（含）分； 注：以磋商响应文件中所附检测设备的主要检测仪器设备原始发票或租赁意向书或带有生效条件的租赁合同复印件或仪器设备检定证书或校准证书为准。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拟投入本项目的检测仪器设备情况表.docx</w:t>
            </w:r>
          </w:p>
        </w:tc>
      </w:tr>
      <w:tr>
        <w:tc>
          <w:tcPr>
            <w:tcW w:type="dxa" w:w="831"/>
            <w:vMerge/>
          </w:tcPr>
          <w:p/>
        </w:tc>
        <w:tc>
          <w:tcPr>
            <w:tcW w:type="dxa" w:w="1661"/>
          </w:tcPr>
          <w:p>
            <w:pPr>
              <w:pStyle w:val="null3"/>
            </w:pPr>
            <w:r>
              <w:rPr>
                <w:rFonts w:ascii="仿宋_GB2312" w:hAnsi="仿宋_GB2312" w:cs="仿宋_GB2312" w:eastAsia="仿宋_GB2312"/>
              </w:rPr>
              <w:t>应急预案、应急处理措施并提供合理化建议</w:t>
            </w:r>
          </w:p>
        </w:tc>
        <w:tc>
          <w:tcPr>
            <w:tcW w:type="dxa" w:w="2492"/>
          </w:tcPr>
          <w:p>
            <w:pPr>
              <w:pStyle w:val="null3"/>
            </w:pPr>
            <w:r>
              <w:rPr>
                <w:rFonts w:ascii="仿宋_GB2312" w:hAnsi="仿宋_GB2312" w:cs="仿宋_GB2312" w:eastAsia="仿宋_GB2312"/>
              </w:rPr>
              <w:t>根据本项目特点制定有效的应急预案、应急处理措施并提供合理化建议，根据响应内容程度计0～5分,本项满分5分。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拟投入本项目的检测仪器设备情况表.docx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完全响应竞争性磋商文件和合同条款的要求，严格按照服务方案执行，根据其对服务期的响应、服务期内的质量、人员到位情况、承诺各管理项目指标达到国家相关标准、不能完全履行服务承诺时接受处罚等情况做出实质性承诺，本项满分8分。服务承诺可操作性强、细节描述详细、完整优越计5～8（含）分；有相对的操作性、承诺内容良好计3～5（含）分；服务承诺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拟投入本项目的检测仪器设备情况表.docx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详见附件：拟投入本项目的人员配置情况表.docx</w:t>
      </w:r>
    </w:p>
    <w:p>
      <w:pPr>
        <w:pStyle w:val="null3"/>
        <w:ind w:firstLine="960"/>
      </w:pPr>
      <w:r>
        <w:rPr>
          <w:rFonts w:ascii="仿宋_GB2312" w:hAnsi="仿宋_GB2312" w:cs="仿宋_GB2312" w:eastAsia="仿宋_GB2312"/>
        </w:rPr>
        <w:t>详见附件：拟投入本项目的检测仪器设备情况表.docx</w:t>
      </w:r>
    </w:p>
    <w:p>
      <w:pPr>
        <w:pStyle w:val="null3"/>
        <w:ind w:firstLine="960"/>
      </w:pPr>
      <w:r>
        <w:rPr>
          <w:rFonts w:ascii="仿宋_GB2312" w:hAnsi="仿宋_GB2312" w:cs="仿宋_GB2312" w:eastAsia="仿宋_GB2312"/>
        </w:rPr>
        <w:t>详见附件：供应商近三年类似项目业绩证明材料.docx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