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版本号：SXLX25-01-006Z(F)20250401001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雁塔区2024年老旧小区雨污水管网改造项目二EPC总承包监理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SXLX25-01-006Z(F)</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雁塔区2024年老旧小区雨污水管网改造项目二EPC总承包监理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SXLX25-01-006Z(F)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雁塔区2024年老旧小区雨污水管网改造项目二EPC总承包监理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雁塔区2024年老旧小区雨污水管网改造项目二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采购包1（雁塔区2024年老旧小区雨污水管网改造项目二EPC总承包监理）：属于专门面向小微企业采购。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1、供应商需具备建设部门颁发的工程监理综合资质或市政公用工程专业监理乙级及以上资质：供应商需具备建设部门颁发的工程监理综合资质或市政公用工程专业监理乙级及以上资质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供应商拟派项目总监理工程师需具备市政公用工程专业注册监理工程师资格，在本单位注册，如拟派项目总监理工程师有在监项目，不得超过2个（含2个），且须出具在监项目建设单位书面同意书：供应商拟派项目总监理工程师需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3、供应商基本信息及项目总监的基本信息在“陕西省住房和城乡建设厅”（https://js.shaanxi.gov.cn/）可查询：供应商基本信息及项目总监的基本信息在“陕西省住房和城乡建设厅”（https://js.shaanxi.gov.cn/）可查询 （经核实信息有误的，其不满足特殊资格审查要求的，资格不予审查通过，其响应文件无效）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雁塔区2024年老旧小区雨污水管网改造项目二EPC总承包项目施工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586,400.00</w:t>
      </w:r>
    </w:p>
    <w:p>
      <w:pPr>
        <w:pStyle w:val="null3"/>
      </w:pPr>
      <w:r>
        <w:rPr>
          <w:rFonts w:ascii="仿宋_GB2312" w:hAnsi="仿宋_GB2312" w:cs="仿宋_GB2312" w:eastAsia="仿宋_GB2312"/>
        </w:rPr>
        <w:t>采购包最高限价（元）: 586,400.00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雁塔区2024年老旧小区雨污水管网改造项目二EPC总承包监理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标的名称：雁塔区2024年老旧小区雨污水管网改造项目二EPC总承包监理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rPr>
              <w:t>一、服务内容与要求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服务内容</w:t>
            </w:r>
            <w:r>
              <w:rPr>
                <w:rFonts w:ascii="仿宋_GB2312" w:hAnsi="仿宋_GB2312" w:cs="仿宋_GB2312" w:eastAsia="仿宋_GB2312"/>
                <w:sz w:val="21"/>
                <w:b/>
              </w:rPr>
              <w:t>：</w:t>
            </w:r>
            <w:r>
              <w:rPr>
                <w:rFonts w:ascii="仿宋_GB2312" w:hAnsi="仿宋_GB2312" w:cs="仿宋_GB2312" w:eastAsia="仿宋_GB2312"/>
                <w:sz w:val="21"/>
              </w:rPr>
              <w:t>根据服务区域划分责任范围，落实责任人，对雁塔区</w:t>
            </w:r>
            <w:r>
              <w:rPr>
                <w:rFonts w:ascii="仿宋_GB2312" w:hAnsi="仿宋_GB2312" w:cs="仿宋_GB2312" w:eastAsia="仿宋_GB2312"/>
                <w:sz w:val="21"/>
              </w:rPr>
              <w:t>2024年老旧小区雨污水管网改造项目</w:t>
            </w:r>
            <w:r>
              <w:rPr>
                <w:rFonts w:ascii="仿宋_GB2312" w:hAnsi="仿宋_GB2312" w:cs="仿宋_GB2312" w:eastAsia="仿宋_GB2312"/>
                <w:sz w:val="21"/>
              </w:rPr>
              <w:t>二</w:t>
            </w:r>
            <w:r>
              <w:rPr>
                <w:rFonts w:ascii="仿宋_GB2312" w:hAnsi="仿宋_GB2312" w:cs="仿宋_GB2312" w:eastAsia="仿宋_GB2312"/>
                <w:sz w:val="21"/>
              </w:rPr>
              <w:t>EPC总承包施工阶段及保修阶段提供全过程监理服务（服务内容包括但不限于监理范围内的工程洽商、施工及安装、工程变更、质量控制、投资控制、进度控制、安全生产管理、合同管理、信息管理、工程款进度款审核、竣工验收、资料整理、第三方协调等所有相关的监理服务），配合并促进采购人完成建设目标</w:t>
            </w:r>
            <w:r>
              <w:rPr>
                <w:rFonts w:ascii="仿宋_GB2312" w:hAnsi="仿宋_GB2312" w:cs="仿宋_GB2312" w:eastAsia="仿宋_GB2312"/>
                <w:sz w:val="21"/>
              </w:rPr>
              <w:t>，</w:t>
            </w:r>
            <w:r>
              <w:rPr>
                <w:rFonts w:ascii="仿宋_GB2312" w:hAnsi="仿宋_GB2312" w:cs="仿宋_GB2312" w:eastAsia="仿宋_GB2312"/>
                <w:sz w:val="21"/>
              </w:rPr>
              <w:t>具体</w:t>
            </w:r>
            <w:r>
              <w:rPr>
                <w:rFonts w:ascii="仿宋_GB2312" w:hAnsi="仿宋_GB2312" w:cs="仿宋_GB2312" w:eastAsia="仿宋_GB2312"/>
                <w:sz w:val="21"/>
              </w:rPr>
              <w:t>服务内容</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rPr>
                <w:rFonts w:ascii="仿宋_GB2312" w:hAnsi="仿宋_GB2312" w:cs="仿宋_GB2312" w:eastAsia="仿宋_GB2312"/>
                <w:sz w:val="21"/>
              </w:rPr>
              <w:t>如下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(1)在工程开工前，参与施工图设计审查；</w:t>
            </w:r>
          </w:p>
          <w:p>
            <w:pPr>
              <w:pStyle w:val="null3"/>
              <w:ind w:firstLine="420"/>
              <w:jc w:val="both"/>
            </w:pPr>
            <w:r>
              <w:rPr>
                <w:rFonts w:ascii="仿宋_GB2312" w:hAnsi="仿宋_GB2312" w:cs="仿宋_GB2312" w:eastAsia="仿宋_GB2312"/>
                <w:sz w:val="21"/>
              </w:rPr>
              <w:t>(2)协助采购人进行图纸资料的管理及工程招标工作，协助采购人与承包人签订建设工程施工合同；</w:t>
            </w:r>
          </w:p>
          <w:p>
            <w:pPr>
              <w:pStyle w:val="null3"/>
              <w:ind w:firstLine="420"/>
              <w:jc w:val="both"/>
            </w:pPr>
            <w:r>
              <w:rPr>
                <w:rFonts w:ascii="仿宋_GB2312" w:hAnsi="仿宋_GB2312" w:cs="仿宋_GB2312" w:eastAsia="仿宋_GB2312"/>
                <w:sz w:val="21"/>
              </w:rPr>
              <w:t>(3)参加施工图设计交底和图纸会审，配合采购人召开工程外部关系协调会主持监理例会，审查承包人的施工组织设计、技术方案和工程进度计划，经采购人审定后签发执行，审批单位工程施工开工令；</w:t>
            </w:r>
          </w:p>
          <w:p>
            <w:pPr>
              <w:pStyle w:val="null3"/>
              <w:ind w:firstLine="420"/>
              <w:jc w:val="both"/>
            </w:pPr>
            <w:r>
              <w:rPr>
                <w:rFonts w:ascii="仿宋_GB2312" w:hAnsi="仿宋_GB2312" w:cs="仿宋_GB2312" w:eastAsia="仿宋_GB2312"/>
                <w:sz w:val="21"/>
              </w:rPr>
              <w:t>(4)按采购人要求的时间向采购人提交工程监理大纲、监理规划和项目监理实施细则及与工程有关的各类统计报表、施工计划、管理台帐、例会纪要等；</w:t>
            </w:r>
          </w:p>
          <w:p>
            <w:pPr>
              <w:pStyle w:val="null3"/>
              <w:ind w:firstLine="420"/>
              <w:jc w:val="both"/>
            </w:pPr>
            <w:r>
              <w:rPr>
                <w:rFonts w:ascii="仿宋_GB2312" w:hAnsi="仿宋_GB2312" w:cs="仿宋_GB2312" w:eastAsia="仿宋_GB2312"/>
                <w:sz w:val="21"/>
              </w:rPr>
              <w:t>(5)审查承包人提交的材料、设备的采购清单及其规格、型号与质量、数量等确认进场材料、设备的质量，组织设备现场开箱检验，防止不合格材料、设备用于工程；</w:t>
            </w:r>
          </w:p>
          <w:p>
            <w:pPr>
              <w:pStyle w:val="null3"/>
              <w:ind w:firstLine="420"/>
              <w:jc w:val="both"/>
            </w:pPr>
            <w:r>
              <w:rPr>
                <w:rFonts w:ascii="仿宋_GB2312" w:hAnsi="仿宋_GB2312" w:cs="仿宋_GB2312" w:eastAsia="仿宋_GB2312"/>
                <w:sz w:val="21"/>
              </w:rPr>
              <w:t>(6)督促、检查承包人履行合同情况，严格按国家技术规范标准以及设计图纸文件要求进行施工，检查验收分部、分项工程质量，对主要部位、关键环节及隐蔽工程的施工实施旁站监理，对工程质量负责；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420"/>
              <w:jc w:val="both"/>
            </w:pPr>
            <w:r>
              <w:rPr>
                <w:rFonts w:ascii="仿宋_GB2312" w:hAnsi="仿宋_GB2312" w:cs="仿宋_GB2312" w:eastAsia="仿宋_GB2312"/>
                <w:sz w:val="21"/>
              </w:rPr>
              <w:t>(7)按合同工期对施工进度进行控制和检查，定期向采购人报告工程进度情况及建议，控制工程进度；</w:t>
            </w:r>
          </w:p>
          <w:p>
            <w:pPr>
              <w:pStyle w:val="null3"/>
              <w:ind w:firstLine="420"/>
              <w:jc w:val="both"/>
            </w:pPr>
            <w:r>
              <w:rPr>
                <w:rFonts w:ascii="仿宋_GB2312" w:hAnsi="仿宋_GB2312" w:cs="仿宋_GB2312" w:eastAsia="仿宋_GB2312"/>
                <w:sz w:val="21"/>
              </w:rPr>
              <w:t>(8)及时对合格工程进行审核计量，签发工程付款凭证，采购人审定，审查现场工程签证，明确工程签证发生的原因、责任、工程实物量的正确性，报采购人审定，主持协商采购人、承包人、监理人提出的设计变更，进行投资控制；</w:t>
            </w:r>
          </w:p>
          <w:p>
            <w:pPr>
              <w:pStyle w:val="null3"/>
              <w:ind w:firstLine="420"/>
              <w:jc w:val="both"/>
            </w:pPr>
            <w:r>
              <w:rPr>
                <w:rFonts w:ascii="仿宋_GB2312" w:hAnsi="仿宋_GB2312" w:cs="仿宋_GB2312" w:eastAsia="仿宋_GB2312"/>
                <w:sz w:val="21"/>
              </w:rPr>
              <w:t>(9)调解采购人与承包人的争议，公平处理有关索赔事宜；</w:t>
            </w:r>
          </w:p>
          <w:p>
            <w:pPr>
              <w:pStyle w:val="null3"/>
              <w:ind w:firstLine="420"/>
              <w:jc w:val="both"/>
            </w:pPr>
            <w:r>
              <w:rPr>
                <w:rFonts w:ascii="仿宋_GB2312" w:hAnsi="仿宋_GB2312" w:cs="仿宋_GB2312" w:eastAsia="仿宋_GB2312"/>
                <w:sz w:val="21"/>
              </w:rPr>
              <w:t>(10)组织工程预验收；</w:t>
            </w:r>
          </w:p>
          <w:p>
            <w:pPr>
              <w:pStyle w:val="null3"/>
              <w:ind w:firstLine="420"/>
              <w:jc w:val="both"/>
            </w:pPr>
            <w:r>
              <w:rPr>
                <w:rFonts w:ascii="仿宋_GB2312" w:hAnsi="仿宋_GB2312" w:cs="仿宋_GB2312" w:eastAsia="仿宋_GB2312"/>
                <w:sz w:val="21"/>
              </w:rPr>
              <w:t>(11)协助采购人组织各类验收及竣工验收；</w:t>
            </w:r>
          </w:p>
          <w:p>
            <w:pPr>
              <w:pStyle w:val="null3"/>
              <w:ind w:firstLine="420"/>
              <w:jc w:val="both"/>
            </w:pPr>
            <w:r>
              <w:rPr>
                <w:rFonts w:ascii="仿宋_GB2312" w:hAnsi="仿宋_GB2312" w:cs="仿宋_GB2312" w:eastAsia="仿宋_GB2312"/>
                <w:sz w:val="21"/>
              </w:rPr>
              <w:t>(12)保修期间，负责检查工程质量状况，组织鉴定质量问题责任，对使用过程中暴露出的施工质量问题负贵督促承包人限期整改，并提供技术指导直至质量合格；</w:t>
            </w:r>
          </w:p>
          <w:p>
            <w:pPr>
              <w:pStyle w:val="null3"/>
              <w:ind w:firstLine="420"/>
              <w:jc w:val="both"/>
            </w:pPr>
            <w:r>
              <w:rPr>
                <w:rFonts w:ascii="仿宋_GB2312" w:hAnsi="仿宋_GB2312" w:cs="仿宋_GB2312" w:eastAsia="仿宋_GB2312"/>
                <w:sz w:val="21"/>
              </w:rPr>
              <w:t>(13)审查施工组织设计中的安全技术措施或者专项施工方案是否符合工程建设强制性标准；</w:t>
            </w:r>
          </w:p>
          <w:p>
            <w:pPr>
              <w:pStyle w:val="null3"/>
              <w:ind w:firstLine="420"/>
              <w:jc w:val="both"/>
            </w:pPr>
            <w:r>
              <w:rPr>
                <w:rFonts w:ascii="仿宋_GB2312" w:hAnsi="仿宋_GB2312" w:cs="仿宋_GB2312" w:eastAsia="仿宋_GB2312"/>
                <w:sz w:val="21"/>
              </w:rPr>
              <w:t>(14)对分包人的分包内容及分包人资质进行审查，并对分包人使用的材料、施工工艺、工程质量和进度进行监督；</w:t>
            </w:r>
          </w:p>
          <w:p>
            <w:pPr>
              <w:pStyle w:val="null3"/>
              <w:ind w:firstLine="420"/>
              <w:jc w:val="both"/>
            </w:pPr>
            <w:r>
              <w:rPr>
                <w:rFonts w:ascii="仿宋_GB2312" w:hAnsi="仿宋_GB2312" w:cs="仿宋_GB2312" w:eastAsia="仿宋_GB2312"/>
                <w:sz w:val="21"/>
              </w:rPr>
              <w:t>(15)其他内容:建设工程监理规范中规定的其他相关监理工作。</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工程</w:t>
            </w:r>
            <w:r>
              <w:rPr>
                <w:rFonts w:ascii="仿宋_GB2312" w:hAnsi="仿宋_GB2312" w:cs="仿宋_GB2312" w:eastAsia="仿宋_GB2312"/>
                <w:sz w:val="21"/>
                <w:b/>
              </w:rPr>
              <w:t>建设</w:t>
            </w:r>
            <w:r>
              <w:rPr>
                <w:rFonts w:ascii="仿宋_GB2312" w:hAnsi="仿宋_GB2312" w:cs="仿宋_GB2312" w:eastAsia="仿宋_GB2312"/>
                <w:sz w:val="21"/>
                <w:b/>
              </w:rPr>
              <w:t>规模</w:t>
            </w:r>
            <w:r>
              <w:rPr>
                <w:rFonts w:ascii="仿宋_GB2312" w:hAnsi="仿宋_GB2312" w:cs="仿宋_GB2312" w:eastAsia="仿宋_GB2312"/>
                <w:sz w:val="21"/>
                <w:b/>
              </w:rPr>
              <w:t>：</w:t>
            </w:r>
            <w:r>
              <w:rPr>
                <w:rFonts w:ascii="仿宋_GB2312" w:hAnsi="仿宋_GB2312" w:cs="仿宋_GB2312" w:eastAsia="仿宋_GB2312"/>
                <w:sz w:val="21"/>
              </w:rPr>
              <w:t>本项目对</w:t>
            </w:r>
            <w:r>
              <w:rPr>
                <w:rFonts w:ascii="仿宋_GB2312" w:hAnsi="仿宋_GB2312" w:cs="仿宋_GB2312" w:eastAsia="仿宋_GB2312"/>
                <w:sz w:val="21"/>
              </w:rPr>
              <w:t>18个小区进行雨污分流改造，改造内容主要包含雨水工程、污水工程、配套实施现状路面开挖及修复等。其中，雨污水管道改造总长度14901m,污水管道疏通9391m,改造新建雨污水检查井452个，道路开挖及修复面积32205m²。本次改造管材均采用高密度聚乙烯(HDPE)双壁波纹管。具体各小区建设内容如下：</w:t>
            </w:r>
          </w:p>
          <w:p>
            <w:pPr>
              <w:pStyle w:val="null3"/>
              <w:ind w:firstLine="420"/>
              <w:jc w:val="left"/>
            </w:pPr>
            <w:r>
              <w:rPr>
                <w:rFonts w:ascii="仿宋_GB2312" w:hAnsi="仿宋_GB2312" w:cs="仿宋_GB2312" w:eastAsia="仿宋_GB2312"/>
                <w:sz w:val="21"/>
              </w:rPr>
              <w:t>(1)生漆家属院(天坛东路4号),属于长延堡街办。</w:t>
            </w:r>
          </w:p>
          <w:p>
            <w:pPr>
              <w:pStyle w:val="null3"/>
              <w:ind w:firstLine="420"/>
              <w:jc w:val="left"/>
            </w:pPr>
            <w:r>
              <w:rPr>
                <w:rFonts w:ascii="仿宋_GB2312" w:hAnsi="仿宋_GB2312" w:cs="仿宋_GB2312" w:eastAsia="仿宋_GB2312"/>
                <w:sz w:val="21"/>
              </w:rPr>
              <w:t>(2)无线电信局家属院(长安南路256号),属于长延堡街办。</w:t>
            </w:r>
          </w:p>
          <w:p>
            <w:pPr>
              <w:pStyle w:val="null3"/>
              <w:ind w:firstLine="420"/>
              <w:jc w:val="left"/>
            </w:pPr>
            <w:r>
              <w:rPr>
                <w:rFonts w:ascii="仿宋_GB2312" w:hAnsi="仿宋_GB2312" w:cs="仿宋_GB2312" w:eastAsia="仿宋_GB2312"/>
                <w:sz w:val="21"/>
              </w:rPr>
              <w:t>(3)馨园壹号(电子东街105号),属于电子城街办。</w:t>
            </w:r>
          </w:p>
          <w:p>
            <w:pPr>
              <w:pStyle w:val="null3"/>
              <w:ind w:firstLine="420"/>
              <w:jc w:val="left"/>
            </w:pPr>
            <w:r>
              <w:rPr>
                <w:rFonts w:ascii="仿宋_GB2312" w:hAnsi="仿宋_GB2312" w:cs="仿宋_GB2312" w:eastAsia="仿宋_GB2312"/>
                <w:sz w:val="21"/>
              </w:rPr>
              <w:t>(4)千户小区(西影路22号),属于等驾坡街办。</w:t>
            </w:r>
          </w:p>
          <w:p>
            <w:pPr>
              <w:pStyle w:val="null3"/>
              <w:ind w:firstLine="420"/>
              <w:jc w:val="left"/>
            </w:pPr>
            <w:r>
              <w:rPr>
                <w:rFonts w:ascii="仿宋_GB2312" w:hAnsi="仿宋_GB2312" w:cs="仿宋_GB2312" w:eastAsia="仿宋_GB2312"/>
                <w:sz w:val="21"/>
              </w:rPr>
              <w:t>(5)民政小区，属于大雁塔街办。</w:t>
            </w:r>
          </w:p>
          <w:p>
            <w:pPr>
              <w:pStyle w:val="null3"/>
              <w:ind w:firstLine="420"/>
              <w:jc w:val="left"/>
            </w:pPr>
            <w:r>
              <w:rPr>
                <w:rFonts w:ascii="仿宋_GB2312" w:hAnsi="仿宋_GB2312" w:cs="仿宋_GB2312" w:eastAsia="仿宋_GB2312"/>
                <w:sz w:val="21"/>
              </w:rPr>
              <w:t>(6)干休所十七所(西影路228号),属于大雁塔街办。</w:t>
            </w:r>
          </w:p>
          <w:p>
            <w:pPr>
              <w:pStyle w:val="null3"/>
              <w:ind w:firstLine="420"/>
              <w:jc w:val="left"/>
            </w:pPr>
            <w:r>
              <w:rPr>
                <w:rFonts w:ascii="仿宋_GB2312" w:hAnsi="仿宋_GB2312" w:cs="仿宋_GB2312" w:eastAsia="仿宋_GB2312"/>
                <w:sz w:val="21"/>
              </w:rPr>
              <w:t>(7)干休所十七所(西影路226号),属于大雁塔街办。</w:t>
            </w:r>
          </w:p>
          <w:p>
            <w:pPr>
              <w:pStyle w:val="null3"/>
              <w:ind w:firstLine="420"/>
              <w:jc w:val="left"/>
            </w:pPr>
            <w:r>
              <w:rPr>
                <w:rFonts w:ascii="仿宋_GB2312" w:hAnsi="仿宋_GB2312" w:cs="仿宋_GB2312" w:eastAsia="仿宋_GB2312"/>
                <w:sz w:val="21"/>
              </w:rPr>
              <w:t>(8)西影社区(西影路513号),属于大雁塔街办。</w:t>
            </w:r>
          </w:p>
          <w:p>
            <w:pPr>
              <w:pStyle w:val="null3"/>
              <w:ind w:firstLine="420"/>
              <w:jc w:val="left"/>
            </w:pPr>
            <w:r>
              <w:rPr>
                <w:rFonts w:ascii="仿宋_GB2312" w:hAnsi="仿宋_GB2312" w:cs="仿宋_GB2312" w:eastAsia="仿宋_GB2312"/>
                <w:sz w:val="21"/>
              </w:rPr>
              <w:t>(9)陕西省离休干部小寨休养所(兴善寺西街91号),属于小寨路街办。</w:t>
            </w:r>
          </w:p>
          <w:p>
            <w:pPr>
              <w:pStyle w:val="null3"/>
              <w:ind w:firstLine="420"/>
              <w:jc w:val="left"/>
            </w:pPr>
            <w:r>
              <w:rPr>
                <w:rFonts w:ascii="仿宋_GB2312" w:hAnsi="仿宋_GB2312" w:cs="仿宋_GB2312" w:eastAsia="仿宋_GB2312"/>
                <w:sz w:val="21"/>
              </w:rPr>
              <w:t>(10)区政府家属院(吉祥路171号),属于小寨路街办。</w:t>
            </w:r>
          </w:p>
          <w:p>
            <w:pPr>
              <w:pStyle w:val="null3"/>
              <w:ind w:firstLine="420"/>
              <w:jc w:val="left"/>
            </w:pPr>
            <w:r>
              <w:rPr>
                <w:rFonts w:ascii="仿宋_GB2312" w:hAnsi="仿宋_GB2312" w:cs="仿宋_GB2312" w:eastAsia="仿宋_GB2312"/>
                <w:sz w:val="21"/>
              </w:rPr>
              <w:t>(11)太白小区北区(光华路中段),属于小寨路街办。</w:t>
            </w:r>
          </w:p>
          <w:p>
            <w:pPr>
              <w:pStyle w:val="null3"/>
              <w:ind w:firstLine="420"/>
              <w:jc w:val="left"/>
            </w:pPr>
            <w:r>
              <w:rPr>
                <w:rFonts w:ascii="仿宋_GB2312" w:hAnsi="仿宋_GB2312" w:cs="仿宋_GB2312" w:eastAsia="仿宋_GB2312"/>
                <w:sz w:val="21"/>
              </w:rPr>
              <w:t>(12)中国电信吉祥村家属院(吉祥商业街136号),属于小寨路街办。</w:t>
            </w:r>
          </w:p>
          <w:p>
            <w:pPr>
              <w:pStyle w:val="null3"/>
              <w:ind w:firstLine="420"/>
              <w:jc w:val="left"/>
            </w:pPr>
            <w:r>
              <w:rPr>
                <w:rFonts w:ascii="仿宋_GB2312" w:hAnsi="仿宋_GB2312" w:cs="仿宋_GB2312" w:eastAsia="仿宋_GB2312"/>
                <w:sz w:val="21"/>
              </w:rPr>
              <w:t>(13)外贸家属院(四季东巷7号),属于小寨路街办。</w:t>
            </w:r>
          </w:p>
          <w:p>
            <w:pPr>
              <w:pStyle w:val="null3"/>
              <w:ind w:firstLine="420"/>
              <w:jc w:val="left"/>
            </w:pPr>
            <w:r>
              <w:rPr>
                <w:rFonts w:ascii="仿宋_GB2312" w:hAnsi="仿宋_GB2312" w:cs="仿宋_GB2312" w:eastAsia="仿宋_GB2312"/>
                <w:sz w:val="21"/>
              </w:rPr>
              <w:t>(14)中医院家属院(长安南路495号),属于长延堡街办。</w:t>
            </w:r>
          </w:p>
          <w:p>
            <w:pPr>
              <w:pStyle w:val="null3"/>
              <w:ind w:firstLine="420"/>
              <w:jc w:val="left"/>
            </w:pPr>
            <w:r>
              <w:rPr>
                <w:rFonts w:ascii="仿宋_GB2312" w:hAnsi="仿宋_GB2312" w:cs="仿宋_GB2312" w:eastAsia="仿宋_GB2312"/>
                <w:sz w:val="21"/>
              </w:rPr>
              <w:t>(15)杏园小区(北区),属于长延堡街办。</w:t>
            </w:r>
          </w:p>
          <w:p>
            <w:pPr>
              <w:pStyle w:val="null3"/>
              <w:ind w:firstLine="420"/>
              <w:jc w:val="left"/>
            </w:pPr>
            <w:r>
              <w:rPr>
                <w:rFonts w:ascii="仿宋_GB2312" w:hAnsi="仿宋_GB2312" w:cs="仿宋_GB2312" w:eastAsia="仿宋_GB2312"/>
                <w:sz w:val="21"/>
              </w:rPr>
              <w:t>(16)杏园小区(南区),属于长延堡街办。</w:t>
            </w:r>
          </w:p>
          <w:p>
            <w:pPr>
              <w:pStyle w:val="null3"/>
              <w:ind w:firstLine="420"/>
              <w:jc w:val="left"/>
            </w:pPr>
            <w:r>
              <w:rPr>
                <w:rFonts w:ascii="仿宋_GB2312" w:hAnsi="仿宋_GB2312" w:cs="仿宋_GB2312" w:eastAsia="仿宋_GB2312"/>
                <w:sz w:val="21"/>
              </w:rPr>
              <w:t>(17)空军南郊干休所，属于长延堡街办。</w:t>
            </w:r>
          </w:p>
          <w:p>
            <w:pPr>
              <w:pStyle w:val="null3"/>
              <w:ind w:firstLine="420"/>
              <w:jc w:val="left"/>
            </w:pPr>
            <w:r>
              <w:rPr>
                <w:rFonts w:ascii="仿宋_GB2312" w:hAnsi="仿宋_GB2312" w:cs="仿宋_GB2312" w:eastAsia="仿宋_GB2312"/>
                <w:sz w:val="21"/>
              </w:rPr>
              <w:t>(18)中国电科39所生活1区(电子二路),属于电子城街办。</w:t>
            </w:r>
          </w:p>
          <w:p>
            <w:pPr>
              <w:pStyle w:val="null3"/>
              <w:ind w:firstLine="422"/>
              <w:jc w:val="left"/>
            </w:pPr>
            <w:r>
              <w:rPr>
                <w:rFonts w:ascii="仿宋_GB2312" w:hAnsi="仿宋_GB2312" w:cs="仿宋_GB2312" w:eastAsia="仿宋_GB2312"/>
                <w:sz w:val="21"/>
                <w:b/>
              </w:rPr>
              <w:t>1.3技术要求</w:t>
            </w:r>
            <w:r>
              <w:rPr>
                <w:rFonts w:ascii="仿宋_GB2312" w:hAnsi="仿宋_GB2312" w:cs="仿宋_GB2312" w:eastAsia="仿宋_GB2312"/>
                <w:sz w:val="21"/>
                <w:b/>
              </w:rPr>
              <w:t>：</w:t>
            </w:r>
            <w:r>
              <w:rPr>
                <w:rFonts w:ascii="仿宋_GB2312" w:hAnsi="仿宋_GB2312" w:cs="仿宋_GB2312" w:eastAsia="仿宋_GB2312"/>
                <w:sz w:val="21"/>
              </w:rPr>
              <w:t>要求采取科学、针对性强的管理方案，保证在相关的国家、省、市（行业）标准、规范及西安市地方现行相关规范及行业标准制约的前提下做好项目的质量控制、进度控制、投资控制、合同信息管理、组织协调、重点部位关键工序控制等方面工作。</w:t>
            </w:r>
          </w:p>
          <w:p>
            <w:pPr>
              <w:pStyle w:val="null3"/>
              <w:ind w:firstLine="422"/>
              <w:jc w:val="both"/>
            </w:pPr>
            <w:r>
              <w:rPr>
                <w:rFonts w:ascii="仿宋_GB2312" w:hAnsi="仿宋_GB2312" w:cs="仿宋_GB2312" w:eastAsia="仿宋_GB2312"/>
                <w:sz w:val="21"/>
                <w:b/>
              </w:rPr>
              <w:t>1.4进度要求：</w:t>
            </w:r>
            <w:r>
              <w:rPr>
                <w:rFonts w:ascii="仿宋_GB2312" w:hAnsi="仿宋_GB2312" w:cs="仿宋_GB2312" w:eastAsia="仿宋_GB2312"/>
                <w:sz w:val="21"/>
              </w:rPr>
              <w:t>通过采取组织、技术、经济、合同相关控制措施将项目实施进度控制在</w:t>
            </w:r>
            <w:r>
              <w:rPr>
                <w:rFonts w:ascii="仿宋_GB2312" w:hAnsi="仿宋_GB2312" w:cs="仿宋_GB2312" w:eastAsia="仿宋_GB2312"/>
                <w:sz w:val="21"/>
              </w:rPr>
              <w:t>采购人</w:t>
            </w:r>
            <w:r>
              <w:rPr>
                <w:rFonts w:ascii="仿宋_GB2312" w:hAnsi="仿宋_GB2312" w:cs="仿宋_GB2312" w:eastAsia="仿宋_GB2312"/>
                <w:sz w:val="21"/>
              </w:rPr>
              <w:t>所要求的合理时间节点内。</w:t>
            </w:r>
          </w:p>
          <w:p>
            <w:pPr>
              <w:pStyle w:val="null3"/>
              <w:ind w:left="15" w:right="-195" w:firstLine="422"/>
              <w:jc w:val="both"/>
            </w:pPr>
            <w:r>
              <w:rPr>
                <w:rFonts w:ascii="仿宋_GB2312" w:hAnsi="仿宋_GB2312" w:cs="仿宋_GB2312" w:eastAsia="仿宋_GB2312"/>
                <w:sz w:val="21"/>
                <w:b/>
              </w:rPr>
              <w:t>1.5服务要求：</w:t>
            </w:r>
            <w:r>
              <w:rPr>
                <w:rFonts w:ascii="仿宋_GB2312" w:hAnsi="仿宋_GB2312" w:cs="仿宋_GB2312" w:eastAsia="仿宋_GB2312"/>
                <w:sz w:val="21"/>
              </w:rPr>
              <w:t>（</w:t>
            </w:r>
            <w:r>
              <w:rPr>
                <w:rFonts w:ascii="仿宋_GB2312" w:hAnsi="仿宋_GB2312" w:cs="仿宋_GB2312" w:eastAsia="仿宋_GB2312"/>
                <w:sz w:val="21"/>
              </w:rPr>
              <w:t>1）服务方应当按照法律、法规和工程建设强制性标准实施监理；监理服务质量目标：达到《市政工程施工质量验收统一标准》合格标准，并对建设工程安全生产承担监理责任；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2）严格执行国家有关法律法规、监理规范和规程以及有关规定及相关行业标准的规定，并符合甲方制定的各项安全、环保、生产指标；</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4）服务过程中，严格遵守各种管理规定及规章制度，做到安全文明；如发生工伤及意外事故由服务方单位负责；</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5）严格按照国家、陕西省有关规定及采购人要求进行服务，不得随意更改或者变换服务内容，每项服务内容实施前应事先取得采购人的落实后方可实施；</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6）服务方应在收到工程设计文件后编制监理规划和监理工作计划,并按进度分专业编制工程建设监理实施细则，在开工前报送采购人方。服务方应进驻工程施工现场，按采购人书面同意的监理规划和监理实施细则开展工作，并及时向采购人提交监理工作周报、月报、监理工作总结，监理规划(监理实施细则)提前提报，监理月报于每月定时汇报；</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7）服务方应熟悉工程设计文件，并参加采购人主持的图纸会审和设计交底会议；主持监理例会并根据工程需要主持或参加专题会议；</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8）服务方应对承包单位报送的竣工资料进行审查，并于工程完成通过预验收出具工程质量评估报告，按照采购人的通知及时参加并协助采购人做好工程竣工预验收、竣工验收，签署监理单位意见，出具相关评估报告或验收报告；</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9）服务方派遣的服务人员对于在工作中获悉的一切政府工作的信息应严格保守秘密，不得泄露；对于违反者，给采购人单位造成不良社会影响的，或给采购人单位造成损失的，由服务方承担赔偿责任。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630"/>
              <w:jc w:val="left"/>
            </w:pPr>
            <w:r>
              <w:rPr>
                <w:rFonts w:ascii="仿宋_GB2312" w:hAnsi="仿宋_GB2312" w:cs="仿宋_GB2312" w:eastAsia="仿宋_GB2312"/>
                <w:sz w:val="21"/>
              </w:rPr>
              <w:t>（</w:t>
            </w:r>
            <w:r>
              <w:rPr>
                <w:rFonts w:ascii="仿宋_GB2312" w:hAnsi="仿宋_GB2312" w:cs="仿宋_GB2312" w:eastAsia="仿宋_GB2312"/>
                <w:sz w:val="21"/>
              </w:rPr>
              <w:t>10）服务方履约期内应在现场保留工作所用的图纸、报告及记录监理工作的相关文件；服务结束，提供本项目相关所有服务的成果报告及归档资料。</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质量标准及要求</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各项服务符合国家、省、市（行业）强制性标准及采购人要求的合格标准；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二、其他要求或说明</w:t>
            </w:r>
          </w:p>
          <w:p>
            <w:pPr>
              <w:pStyle w:val="null3"/>
              <w:ind w:right="-195" w:firstLine="420"/>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本项目所属行业为</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其他未列明行业</w:t>
            </w:r>
            <w:r>
              <w:rPr>
                <w:rFonts w:ascii="仿宋_GB2312" w:hAnsi="仿宋_GB2312" w:cs="仿宋_GB2312" w:eastAsia="仿宋_GB2312"/>
                <w:sz w:val="21"/>
              </w:rPr>
              <w:t>（从业人员</w:t>
            </w:r>
            <w:r>
              <w:rPr>
                <w:rFonts w:ascii="仿宋_GB2312" w:hAnsi="仿宋_GB2312" w:cs="仿宋_GB2312" w:eastAsia="仿宋_GB2312"/>
                <w:sz w:val="21"/>
              </w:rPr>
              <w:t>300人以下的为中小微型企业。其中，从业人员100人及以上的为中型企业；从业人员10人及以上的为小型企业；从业人员10人以下的为微型企业）</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2.2其他说明：</w:t>
            </w:r>
            <w:r>
              <w:rPr>
                <w:rFonts w:ascii="仿宋_GB2312" w:hAnsi="仿宋_GB2312" w:cs="仿宋_GB2312" w:eastAsia="仿宋_GB2312"/>
                <w:sz w:val="21"/>
              </w:rPr>
              <w:t>供应商报价时应按照</w:t>
            </w:r>
            <w:r>
              <w:rPr>
                <w:rFonts w:ascii="仿宋_GB2312" w:hAnsi="仿宋_GB2312" w:cs="仿宋_GB2312" w:eastAsia="仿宋_GB2312"/>
                <w:sz w:val="21"/>
              </w:rPr>
              <w:t>磋商报价</w:t>
            </w:r>
            <w:r>
              <w:rPr>
                <w:rFonts w:ascii="仿宋_GB2312" w:hAnsi="仿宋_GB2312" w:cs="仿宋_GB2312" w:eastAsia="仿宋_GB2312"/>
                <w:sz w:val="21"/>
              </w:rPr>
              <w:t>=费率*</w:t>
            </w:r>
            <w:r>
              <w:rPr>
                <w:rFonts w:ascii="仿宋_GB2312" w:hAnsi="仿宋_GB2312" w:cs="仿宋_GB2312" w:eastAsia="仿宋_GB2312"/>
                <w:sz w:val="21"/>
              </w:rPr>
              <w:t>监理费计费基准价</w:t>
            </w:r>
            <w:r>
              <w:rPr>
                <w:rFonts w:ascii="仿宋_GB2312" w:hAnsi="仿宋_GB2312" w:cs="仿宋_GB2312" w:eastAsia="仿宋_GB2312"/>
                <w:sz w:val="21"/>
              </w:rPr>
              <w:t>（</w:t>
            </w:r>
            <w:r>
              <w:rPr>
                <w:rFonts w:ascii="仿宋_GB2312" w:hAnsi="仿宋_GB2312" w:cs="仿宋_GB2312" w:eastAsia="仿宋_GB2312"/>
                <w:sz w:val="21"/>
              </w:rPr>
              <w:t>3257.52万元）</w:t>
            </w:r>
            <w:r>
              <w:rPr>
                <w:rFonts w:ascii="仿宋_GB2312" w:hAnsi="仿宋_GB2312" w:cs="仿宋_GB2312" w:eastAsia="仿宋_GB2312"/>
                <w:sz w:val="21"/>
              </w:rPr>
              <w:t>的方式进行计算报价；本项目按照费率结算，根据本项目实际情况，若本项目经财政评审（或审计）工程建安结算总价低于本项目施工预算审定价（最高限价），监理费按照成交监理费费率调整后的总价结算（工程监理费</w:t>
            </w:r>
            <w:r>
              <w:rPr>
                <w:rFonts w:ascii="仿宋_GB2312" w:hAnsi="仿宋_GB2312" w:cs="仿宋_GB2312" w:eastAsia="仿宋_GB2312"/>
                <w:sz w:val="21"/>
              </w:rPr>
              <w:t>=经财政评审（或审计）工程建安结算总价×成交监理费费率），其他情况按合同暂定金额结算。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至少包括总监理工程师、专业监理工程师、监理员），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（1）依照建设工程监理规范标准提交相应监理资料。 （2）所有资料提供纸质版及电子版（pdf格式），刻录成DVD。</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190日历天（具体监理服务期与施工工期同步，自开工之日起至工程保修期满为止；施工工期延长的，施工和保修阶段监理服务期均顺延）。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有权根据有关规范、规定及项目要求对服务方进行检查或考核，服务方须无条件的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审计完成后（按费率据实结算）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监理费、设备使用费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供应商需在项目电子化交易系统中按要求填写《响应函》完成承诺并进行电子签章,并按采购文件中的附件“资格证明文件”格式要求提供相关证明资料。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会计报告或其提交响应文件截止时间前3个月内银行出具的资信证明（附存款账户信息）；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供应商需具备建设部门颁发的工程监理综合资质或市政公用工程专业监理乙级及以上资质</w:t>
            </w:r>
          </w:p>
        </w:tc>
        <w:tc>
          <w:tcPr>
            <w:tcW w:type="dxa" w:w="3322"/>
          </w:tcPr>
          <w:p>
            <w:pPr>
              <w:pStyle w:val="null3"/>
            </w:pPr>
            <w:r>
              <w:rPr>
                <w:rFonts w:ascii="仿宋_GB2312" w:hAnsi="仿宋_GB2312" w:cs="仿宋_GB2312" w:eastAsia="仿宋_GB2312"/>
              </w:rPr>
              <w:t>供应商需具备建设部门颁发的工程监理综合资质或市政公用工程专业监理乙级及以上资质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w:t>
            </w:r>
          </w:p>
        </w:tc>
        <w:tc>
          <w:tcPr>
            <w:tcW w:type="dxa" w:w="3322"/>
          </w:tcPr>
          <w:p>
            <w:pPr>
              <w:pStyle w:val="null3"/>
            </w:pPr>
            <w:r>
              <w:rPr>
                <w:rFonts w:ascii="仿宋_GB2312" w:hAnsi="仿宋_GB2312" w:cs="仿宋_GB2312" w:eastAsia="仿宋_GB2312"/>
              </w:rPr>
              <w:t>供应商拟派项目总监理工程师需具备市政公用工程专业注册监理工程师资格，在本单位注册，如拟派项目总监理工程师有在监项目，不得超过2个（含2个），且须出具在监项目建设单位书面同意书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供应商基本信息及项目总监的基本信息在“陕西省住房和城乡建设厅”（https://js.shaanxi.gov.cn/）可查询</w:t>
            </w:r>
          </w:p>
        </w:tc>
        <w:tc>
          <w:tcPr>
            <w:tcW w:type="dxa" w:w="3322"/>
          </w:tcPr>
          <w:p>
            <w:pPr>
              <w:pStyle w:val="null3"/>
            </w:pPr>
            <w:r>
              <w:rPr>
                <w:rFonts w:ascii="仿宋_GB2312" w:hAnsi="仿宋_GB2312" w:cs="仿宋_GB2312" w:eastAsia="仿宋_GB2312"/>
              </w:rPr>
              <w:t>供应商基本信息及项目总监的基本信息在“陕西省住房和城乡建设厅”（https://js.shaanxi.gov.cn/）可查询 （经核实信息有误的，其不满足特殊资格审查要求的，资格不予审查通过，其响应文件无效）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响应函 资格证明文件.docx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符合拟定合同条款中的约定</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根据对监理工作的①重点、难点分析和②解决对策的响应程度。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工作程序、方法和制度</w:t>
            </w:r>
          </w:p>
        </w:tc>
        <w:tc>
          <w:tcPr>
            <w:tcW w:type="dxa" w:w="2492"/>
          </w:tcPr>
          <w:p>
            <w:pPr>
              <w:pStyle w:val="null3"/>
            </w:pPr>
            <w:r>
              <w:rPr>
                <w:rFonts w:ascii="仿宋_GB2312" w:hAnsi="仿宋_GB2312" w:cs="仿宋_GB2312" w:eastAsia="仿宋_GB2312"/>
              </w:rPr>
              <w:t>根据对监理的①工作计划、②工作程序、③工作方法、④工作制度的响应程度。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策略和服务体系</w:t>
            </w:r>
          </w:p>
        </w:tc>
        <w:tc>
          <w:tcPr>
            <w:tcW w:type="dxa" w:w="2492"/>
          </w:tcPr>
          <w:p>
            <w:pPr>
              <w:pStyle w:val="null3"/>
            </w:pPr>
            <w:r>
              <w:rPr>
                <w:rFonts w:ascii="仿宋_GB2312" w:hAnsi="仿宋_GB2312" w:cs="仿宋_GB2312" w:eastAsia="仿宋_GB2312"/>
              </w:rPr>
              <w:t>根据对①监理策略和②服务体系的响应程度。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根据对①监理范围、②服务内容、③监理依据、④实施方案的响应程度。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根据对监理①机构设置、②组成人员、③岗位职责、④业务素质的响应程度。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 注：业务素质证明不限于证书、职称、荣誉、类似业绩等相关经验证明材料。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根据对拟投入试验检测设备配置响应程度。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安全、进度、环境、资金控制措施</w:t>
            </w:r>
          </w:p>
        </w:tc>
        <w:tc>
          <w:tcPr>
            <w:tcW w:type="dxa" w:w="2492"/>
          </w:tcPr>
          <w:p>
            <w:pPr>
              <w:pStyle w:val="null3"/>
            </w:pPr>
            <w:r>
              <w:rPr>
                <w:rFonts w:ascii="仿宋_GB2312" w:hAnsi="仿宋_GB2312" w:cs="仿宋_GB2312" w:eastAsia="仿宋_GB2312"/>
              </w:rPr>
              <w:t>根据对①安全控制、②进度控制、③环境控制、④资金控制措施的响应程。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根据对监理①质量依据、②问题处理对策、③质量保证措施的响应程度。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合理化建议全面具体、针对性强、科学可行的得3分； 合理化建议较为具体、针对性较好、细节待完善、基本可行的得2分；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