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41A75">
      <w:pPr>
        <w:spacing w:before="312"/>
        <w:ind w:firstLine="723"/>
        <w:jc w:val="center"/>
        <w:rPr>
          <w:rFonts w:asciiTheme="minorHAnsi" w:hAnsiTheme="minorHAnsi" w:eastAsiaTheme="minorEastAsia" w:cstheme="minorBidi"/>
          <w:b/>
          <w:color w:val="auto"/>
          <w:sz w:val="36"/>
          <w:szCs w:val="36"/>
          <w:highlight w:val="none"/>
        </w:rPr>
      </w:pPr>
      <w:bookmarkStart w:id="0" w:name="_GoBack"/>
      <w:r>
        <w:rPr>
          <w:rFonts w:hint="eastAsia" w:asciiTheme="minorHAnsi" w:hAnsiTheme="minorHAnsi" w:eastAsiaTheme="minorEastAsia" w:cstheme="minorBidi"/>
          <w:b/>
          <w:color w:val="auto"/>
          <w:sz w:val="36"/>
          <w:szCs w:val="36"/>
          <w:highlight w:val="none"/>
        </w:rPr>
        <w:t>拟签订采购合同文本</w:t>
      </w:r>
    </w:p>
    <w:p w14:paraId="2921969A">
      <w:pPr>
        <w:pStyle w:val="2"/>
        <w:ind w:firstLine="422"/>
        <w:rPr>
          <w:color w:val="auto"/>
          <w:highlight w:val="none"/>
        </w:rPr>
      </w:pPr>
    </w:p>
    <w:p w14:paraId="1777AA35">
      <w:pPr>
        <w:pStyle w:val="2"/>
        <w:ind w:firstLine="422"/>
        <w:rPr>
          <w:color w:val="auto"/>
          <w:highlight w:val="none"/>
        </w:rPr>
      </w:pPr>
    </w:p>
    <w:p w14:paraId="058D10CF">
      <w:pPr>
        <w:pStyle w:val="2"/>
        <w:ind w:firstLine="422"/>
        <w:rPr>
          <w:color w:val="auto"/>
          <w:highlight w:val="none"/>
        </w:rPr>
      </w:pPr>
    </w:p>
    <w:p w14:paraId="089B66EB">
      <w:pPr>
        <w:shd w:val="clear" w:color="auto" w:fill="FFFFFF"/>
        <w:snapToGrid w:val="0"/>
        <w:ind w:firstLine="560"/>
        <w:rPr>
          <w:rFonts w:hAnsi="宋体"/>
          <w:b/>
          <w:color w:val="auto"/>
          <w:sz w:val="16"/>
          <w:szCs w:val="10"/>
          <w:highlight w:val="none"/>
        </w:rPr>
      </w:pPr>
      <w:r>
        <w:rPr>
          <w:rFonts w:hint="eastAsia" w:hAnsi="宋体"/>
          <w:b/>
          <w:color w:val="auto"/>
          <w:sz w:val="28"/>
          <w:szCs w:val="20"/>
          <w:highlight w:val="none"/>
        </w:rPr>
        <w:t>GF-2012-0202</w:t>
      </w:r>
    </w:p>
    <w:p w14:paraId="4CC7F819">
      <w:pPr>
        <w:shd w:val="clear" w:color="auto" w:fill="FFFFFF"/>
        <w:snapToGrid w:val="0"/>
        <w:ind w:firstLine="1360"/>
        <w:jc w:val="center"/>
        <w:rPr>
          <w:rFonts w:hAnsi="宋体"/>
          <w:b/>
          <w:bCs/>
          <w:color w:val="auto"/>
          <w:sz w:val="68"/>
          <w:szCs w:val="44"/>
          <w:highlight w:val="none"/>
        </w:rPr>
      </w:pPr>
    </w:p>
    <w:p w14:paraId="2E85AFCC">
      <w:pPr>
        <w:shd w:val="clear" w:color="auto" w:fill="FFFFFF"/>
        <w:snapToGrid w:val="0"/>
        <w:ind w:firstLine="1360"/>
        <w:jc w:val="center"/>
        <w:rPr>
          <w:rFonts w:hAnsi="宋体"/>
          <w:b/>
          <w:bCs/>
          <w:color w:val="auto"/>
          <w:sz w:val="68"/>
          <w:szCs w:val="44"/>
          <w:highlight w:val="none"/>
        </w:rPr>
      </w:pPr>
    </w:p>
    <w:p w14:paraId="59B60158">
      <w:pPr>
        <w:shd w:val="clear" w:color="auto" w:fill="FFFFFF"/>
        <w:snapToGrid w:val="0"/>
        <w:ind w:firstLine="1360"/>
        <w:jc w:val="center"/>
        <w:rPr>
          <w:rFonts w:hAnsi="宋体"/>
          <w:color w:val="auto"/>
          <w:sz w:val="45"/>
          <w:highlight w:val="none"/>
        </w:rPr>
      </w:pPr>
      <w:r>
        <w:rPr>
          <w:rFonts w:hint="eastAsia" w:hAnsi="宋体"/>
          <w:b/>
          <w:bCs/>
          <w:color w:val="auto"/>
          <w:sz w:val="68"/>
          <w:szCs w:val="44"/>
          <w:highlight w:val="none"/>
        </w:rPr>
        <w:t>建设工程监理合同</w:t>
      </w:r>
    </w:p>
    <w:p w14:paraId="365E7DD0">
      <w:pPr>
        <w:shd w:val="clear" w:color="auto" w:fill="FFFFFF"/>
        <w:snapToGrid w:val="0"/>
        <w:ind w:firstLine="640"/>
        <w:rPr>
          <w:rFonts w:ascii="黑体" w:eastAsia="黑体"/>
          <w:b/>
          <w:bCs/>
          <w:color w:val="auto"/>
          <w:sz w:val="32"/>
          <w:szCs w:val="32"/>
          <w:highlight w:val="none"/>
        </w:rPr>
      </w:pPr>
    </w:p>
    <w:p w14:paraId="620D5D2B">
      <w:pPr>
        <w:shd w:val="clear" w:color="auto" w:fill="FFFFFF"/>
        <w:snapToGrid w:val="0"/>
        <w:ind w:firstLine="560"/>
        <w:rPr>
          <w:rFonts w:hAnsi="宋体"/>
          <w:b/>
          <w:color w:val="auto"/>
          <w:sz w:val="28"/>
          <w:szCs w:val="20"/>
          <w:highlight w:val="none"/>
        </w:rPr>
      </w:pPr>
    </w:p>
    <w:p w14:paraId="35BC14D6">
      <w:pPr>
        <w:shd w:val="clear" w:color="auto" w:fill="FFFFFF"/>
        <w:snapToGrid w:val="0"/>
        <w:ind w:firstLine="640"/>
        <w:jc w:val="center"/>
        <w:rPr>
          <w:rFonts w:ascii="黑体" w:eastAsia="黑体"/>
          <w:b/>
          <w:bCs/>
          <w:color w:val="auto"/>
          <w:sz w:val="32"/>
          <w:szCs w:val="32"/>
          <w:highlight w:val="none"/>
        </w:rPr>
      </w:pPr>
    </w:p>
    <w:p w14:paraId="0B7823E5">
      <w:pPr>
        <w:shd w:val="clear" w:color="auto" w:fill="FFFFFF"/>
        <w:snapToGrid w:val="0"/>
        <w:ind w:firstLine="640"/>
        <w:jc w:val="center"/>
        <w:rPr>
          <w:rFonts w:ascii="黑体" w:eastAsia="黑体"/>
          <w:b/>
          <w:bCs/>
          <w:color w:val="auto"/>
          <w:sz w:val="32"/>
          <w:szCs w:val="32"/>
          <w:highlight w:val="none"/>
        </w:rPr>
      </w:pPr>
    </w:p>
    <w:p w14:paraId="1B05CCFA">
      <w:pPr>
        <w:shd w:val="clear" w:color="auto" w:fill="FFFFFF"/>
        <w:snapToGrid w:val="0"/>
        <w:ind w:firstLine="640"/>
        <w:jc w:val="center"/>
        <w:rPr>
          <w:rFonts w:ascii="黑体" w:eastAsia="黑体"/>
          <w:b/>
          <w:bCs/>
          <w:color w:val="auto"/>
          <w:sz w:val="32"/>
          <w:szCs w:val="32"/>
          <w:highlight w:val="none"/>
        </w:rPr>
      </w:pPr>
    </w:p>
    <w:p w14:paraId="489562EB">
      <w:pPr>
        <w:pStyle w:val="2"/>
        <w:ind w:firstLine="422"/>
        <w:rPr>
          <w:color w:val="auto"/>
          <w:highlight w:val="none"/>
        </w:rPr>
      </w:pPr>
    </w:p>
    <w:p w14:paraId="2600B1E1">
      <w:pPr>
        <w:pStyle w:val="2"/>
        <w:ind w:firstLine="422"/>
        <w:rPr>
          <w:color w:val="auto"/>
          <w:highlight w:val="none"/>
        </w:rPr>
      </w:pPr>
    </w:p>
    <w:p w14:paraId="03B4DCC8">
      <w:pPr>
        <w:pStyle w:val="2"/>
        <w:ind w:firstLine="422"/>
        <w:rPr>
          <w:color w:val="auto"/>
          <w:highlight w:val="none"/>
        </w:rPr>
      </w:pPr>
    </w:p>
    <w:p w14:paraId="4C86A88A">
      <w:pPr>
        <w:pStyle w:val="2"/>
        <w:ind w:firstLine="422"/>
        <w:rPr>
          <w:color w:val="auto"/>
          <w:highlight w:val="none"/>
        </w:rPr>
      </w:pPr>
    </w:p>
    <w:p w14:paraId="64FCA5B3">
      <w:pPr>
        <w:pStyle w:val="2"/>
        <w:ind w:firstLine="422"/>
        <w:rPr>
          <w:color w:val="auto"/>
          <w:highlight w:val="none"/>
        </w:rPr>
      </w:pPr>
    </w:p>
    <w:p w14:paraId="4B6DAFA0">
      <w:pPr>
        <w:pStyle w:val="2"/>
        <w:ind w:firstLine="422"/>
        <w:rPr>
          <w:color w:val="auto"/>
          <w:highlight w:val="none"/>
        </w:rPr>
      </w:pPr>
    </w:p>
    <w:p w14:paraId="49F760AB">
      <w:pPr>
        <w:pStyle w:val="2"/>
        <w:ind w:firstLine="422"/>
        <w:rPr>
          <w:color w:val="auto"/>
          <w:highlight w:val="none"/>
        </w:rPr>
      </w:pPr>
    </w:p>
    <w:p w14:paraId="32446E44">
      <w:pPr>
        <w:shd w:val="clear" w:color="auto" w:fill="FFFFFF"/>
        <w:snapToGrid w:val="0"/>
        <w:spacing w:line="360" w:lineRule="auto"/>
        <w:ind w:firstLine="680"/>
        <w:rPr>
          <w:rFonts w:hAnsi="宋体"/>
          <w:b/>
          <w:color w:val="auto"/>
          <w:sz w:val="34"/>
          <w:szCs w:val="28"/>
          <w:highlight w:val="none"/>
        </w:rPr>
      </w:pPr>
      <w:r>
        <w:rPr>
          <w:rFonts w:hint="eastAsia" w:hAnsi="宋体"/>
          <w:b/>
          <w:color w:val="auto"/>
          <w:sz w:val="34"/>
          <w:szCs w:val="28"/>
          <w:highlight w:val="none"/>
        </w:rPr>
        <w:t>住房和城乡建设部</w:t>
      </w:r>
    </w:p>
    <w:p w14:paraId="064700FF">
      <w:pPr>
        <w:shd w:val="clear" w:color="auto" w:fill="FFFFFF"/>
        <w:snapToGrid w:val="0"/>
        <w:spacing w:line="360" w:lineRule="auto"/>
        <w:ind w:firstLine="680"/>
        <w:rPr>
          <w:rFonts w:hAnsi="宋体"/>
          <w:b/>
          <w:color w:val="auto"/>
          <w:sz w:val="34"/>
          <w:szCs w:val="28"/>
          <w:highlight w:val="none"/>
        </w:rPr>
      </w:pPr>
      <w:r>
        <w:rPr>
          <w:rFonts w:hint="eastAsia" w:hAnsi="宋体"/>
          <w:b/>
          <w:color w:val="auto"/>
          <w:sz w:val="34"/>
          <w:szCs w:val="28"/>
          <w:highlight w:val="none"/>
        </w:rPr>
        <w:t xml:space="preserve">国家工商行政管理局     </w:t>
      </w:r>
      <w:r>
        <w:rPr>
          <w:rFonts w:hint="eastAsia" w:hAnsi="宋体"/>
          <w:b/>
          <w:color w:val="auto"/>
          <w:sz w:val="40"/>
          <w:szCs w:val="36"/>
          <w:highlight w:val="none"/>
        </w:rPr>
        <w:t>制定</w:t>
      </w:r>
    </w:p>
    <w:p w14:paraId="52B4BC72">
      <w:pPr>
        <w:shd w:val="clear" w:color="auto" w:fill="FFFFFF"/>
        <w:snapToGrid w:val="0"/>
        <w:spacing w:line="360" w:lineRule="auto"/>
        <w:ind w:firstLine="680"/>
        <w:jc w:val="center"/>
        <w:rPr>
          <w:color w:val="auto"/>
          <w:highlight w:val="none"/>
        </w:rPr>
      </w:pPr>
      <w:r>
        <w:rPr>
          <w:rFonts w:hint="eastAsia" w:hAnsi="宋体"/>
          <w:b/>
          <w:bCs/>
          <w:color w:val="auto"/>
          <w:sz w:val="34"/>
          <w:szCs w:val="28"/>
          <w:highlight w:val="none"/>
        </w:rPr>
        <w:t>二0  年  月</w:t>
      </w:r>
      <w:r>
        <w:rPr>
          <w:color w:val="auto"/>
          <w:highlight w:val="none"/>
        </w:rPr>
        <w:br w:type="page"/>
      </w:r>
    </w:p>
    <w:p w14:paraId="44B66C97">
      <w:pPr>
        <w:pStyle w:val="4"/>
        <w:tabs>
          <w:tab w:val="right" w:leader="dot" w:pos="9297"/>
        </w:tabs>
        <w:spacing w:line="560" w:lineRule="exact"/>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第一部分  协议书</w:t>
      </w:r>
    </w:p>
    <w:p w14:paraId="69DDD36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委托人（全称）：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0F492D6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监理人（全称）：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2FF5703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eastAsia="宋体" w:cs="宋体"/>
          <w:color w:val="auto"/>
          <w:sz w:val="21"/>
          <w:szCs w:val="21"/>
          <w:highlight w:val="none"/>
          <w:lang w:eastAsia="zh-CN"/>
        </w:rPr>
        <w:t>中华人民共和国民法典</w:t>
      </w:r>
      <w:r>
        <w:rPr>
          <w:rFonts w:hint="eastAsia" w:ascii="宋体" w:hAnsi="宋体" w:eastAsia="宋体" w:cs="宋体"/>
          <w:color w:val="auto"/>
          <w:sz w:val="21"/>
          <w:szCs w:val="21"/>
          <w:highlight w:val="none"/>
        </w:rPr>
        <w:t>》、《中华人民共和国建筑法》及其他有关法律、法规之规定，遵循平等、自愿、公平和诚实信用的原则，双方就</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项目名称</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zh-CN" w:eastAsia="zh-CN"/>
        </w:rPr>
        <w:t>（</w:t>
      </w:r>
      <w:r>
        <w:rPr>
          <w:rFonts w:hint="eastAsia" w:ascii="宋体" w:hAnsi="宋体" w:eastAsia="宋体" w:cs="宋体"/>
          <w:color w:val="auto"/>
          <w:sz w:val="21"/>
          <w:szCs w:val="21"/>
          <w:highlight w:val="none"/>
          <w:u w:val="single"/>
          <w:lang w:val="en-US" w:eastAsia="zh-CN"/>
        </w:rPr>
        <w:t>项目编号</w:t>
      </w:r>
      <w:r>
        <w:rPr>
          <w:rFonts w:hint="eastAsia" w:ascii="宋体" w:hAnsi="宋体" w:eastAsia="宋体" w:cs="宋体"/>
          <w:color w:val="auto"/>
          <w:sz w:val="21"/>
          <w:szCs w:val="21"/>
          <w:highlight w:val="none"/>
          <w:u w:val="single"/>
          <w:lang w:val="zh-CN" w:eastAsia="zh-CN"/>
        </w:rPr>
        <w:t>）</w:t>
      </w:r>
      <w:r>
        <w:rPr>
          <w:rFonts w:hint="eastAsia" w:ascii="宋体" w:hAnsi="宋体" w:eastAsia="宋体" w:cs="宋体"/>
          <w:color w:val="auto"/>
          <w:sz w:val="21"/>
          <w:szCs w:val="21"/>
          <w:highlight w:val="none"/>
          <w:u w:val="single"/>
          <w:lang w:eastAsia="zh-CN"/>
        </w:rPr>
        <w:t>（采购包号）</w:t>
      </w:r>
      <w:r>
        <w:rPr>
          <w:rFonts w:hint="eastAsia" w:ascii="宋体" w:hAnsi="宋体" w:eastAsia="宋体" w:cs="宋体"/>
          <w:color w:val="auto"/>
          <w:sz w:val="21"/>
          <w:szCs w:val="21"/>
          <w:highlight w:val="none"/>
        </w:rPr>
        <w:t>事宜，经协商一致，签订本合同，以兹双方共同遵守。</w:t>
      </w:r>
    </w:p>
    <w:p w14:paraId="2251C0F1">
      <w:pPr>
        <w:spacing w:line="360" w:lineRule="auto"/>
        <w:ind w:firstLine="420" w:firstLineChars="200"/>
        <w:outlineLvl w:val="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一、工程概况</w:t>
      </w:r>
    </w:p>
    <w:p w14:paraId="7C909F4F">
      <w:pPr>
        <w:spacing w:line="360" w:lineRule="auto"/>
        <w:ind w:firstLine="420" w:firstLineChars="200"/>
        <w:outlineLvl w:val="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1.工程名称：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77B6407A">
      <w:pPr>
        <w:spacing w:line="360" w:lineRule="auto"/>
        <w:ind w:firstLine="420" w:firstLineChars="200"/>
        <w:outlineLvl w:val="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2.工程地点及规模：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w:t>
      </w:r>
    </w:p>
    <w:p w14:paraId="24E35903">
      <w:pPr>
        <w:spacing w:line="360" w:lineRule="auto"/>
        <w:ind w:firstLine="420" w:firstLineChars="200"/>
        <w:outlineLvl w:val="1"/>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3.服务内容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kern w:val="2"/>
          <w:sz w:val="21"/>
          <w:szCs w:val="21"/>
          <w:highlight w:val="none"/>
          <w:lang w:val="en-US" w:eastAsia="zh-CN" w:bidi="ar-SA"/>
        </w:rPr>
        <w:t>。</w:t>
      </w:r>
    </w:p>
    <w:p w14:paraId="340C59C8">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二、词语限定</w:t>
      </w:r>
    </w:p>
    <w:p w14:paraId="10E3A6E1">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协议书中相关词语的含义与通用条件中的定义与解释相同。</w:t>
      </w:r>
    </w:p>
    <w:p w14:paraId="583EA8BB">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三、组成本合同的文件</w:t>
      </w:r>
    </w:p>
    <w:p w14:paraId="5FF7484B">
      <w:pPr>
        <w:adjustRightInd w:val="0"/>
        <w:snapToGrid w:val="0"/>
        <w:spacing w:line="360" w:lineRule="auto"/>
        <w:ind w:firstLine="415" w:firstLineChars="198"/>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协议书；</w:t>
      </w:r>
    </w:p>
    <w:p w14:paraId="39C0B1DD">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中标通知书（适用于招标工程）或委托书（适用于非招标工程）；</w:t>
      </w:r>
    </w:p>
    <w:p w14:paraId="55F29B9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投标文件（适用于招标工程）或监理与相关服务建议书（适用于非招标工程）；</w:t>
      </w:r>
    </w:p>
    <w:p w14:paraId="2D350793">
      <w:pPr>
        <w:adjustRightInd w:val="0"/>
        <w:snapToGrid w:val="0"/>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专用条件；</w:t>
      </w:r>
    </w:p>
    <w:p w14:paraId="64F8AB7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通用条件；</w:t>
      </w:r>
    </w:p>
    <w:p w14:paraId="03FD5B19">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 附录，即：</w:t>
      </w:r>
    </w:p>
    <w:p w14:paraId="6A020B0D">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附录  委托人派遣的人员和提供的</w:t>
      </w:r>
      <w:r>
        <w:rPr>
          <w:rFonts w:hint="eastAsia" w:ascii="宋体" w:hAnsi="宋体" w:eastAsia="宋体" w:cs="宋体"/>
          <w:bCs/>
          <w:color w:val="auto"/>
          <w:sz w:val="21"/>
          <w:szCs w:val="21"/>
          <w:highlight w:val="none"/>
        </w:rPr>
        <w:t>房屋、资料</w:t>
      </w:r>
      <w:r>
        <w:rPr>
          <w:rFonts w:hint="eastAsia" w:ascii="宋体" w:hAnsi="宋体" w:eastAsia="宋体" w:cs="宋体"/>
          <w:color w:val="auto"/>
          <w:sz w:val="21"/>
          <w:szCs w:val="21"/>
          <w:highlight w:val="none"/>
        </w:rPr>
        <w:t>、设备。</w:t>
      </w:r>
    </w:p>
    <w:p w14:paraId="7C0B80CB">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本合同签订后，双方依法签订的补充协议也是本合同文件的组成部分。</w:t>
      </w:r>
    </w:p>
    <w:p w14:paraId="6868DD49">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四、总监理工程师</w:t>
      </w:r>
    </w:p>
    <w:p w14:paraId="1FB9885F">
      <w:pPr>
        <w:adjustRightInd w:val="0"/>
        <w:snapToGrid w:val="0"/>
        <w:spacing w:line="360" w:lineRule="auto"/>
        <w:ind w:firstLine="415" w:firstLineChars="198"/>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总监理工程师姓名</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，身份证号码：</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，注册号：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6CF590AB">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五、签约酬金</w:t>
      </w:r>
    </w:p>
    <w:p w14:paraId="4E353103">
      <w:pPr>
        <w:adjustRightInd w:val="0"/>
        <w:snapToGrid w:val="0"/>
        <w:spacing w:line="360" w:lineRule="auto"/>
        <w:ind w:firstLine="415" w:firstLineChars="198"/>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rPr>
        <w:t>签约酬金（大写）：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费率</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w:t>
      </w:r>
    </w:p>
    <w:p w14:paraId="4DEB7C04">
      <w:pPr>
        <w:adjustRightInd w:val="0"/>
        <w:snapToGrid w:val="0"/>
        <w:spacing w:line="360" w:lineRule="auto"/>
        <w:ind w:firstLine="415" w:firstLineChars="198"/>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注：</w:t>
      </w:r>
      <w:r>
        <w:rPr>
          <w:rFonts w:hint="eastAsia" w:ascii="宋体" w:hAnsi="宋体" w:eastAsia="宋体" w:cs="宋体"/>
          <w:color w:val="auto"/>
          <w:sz w:val="21"/>
          <w:szCs w:val="21"/>
          <w:highlight w:val="none"/>
        </w:rPr>
        <w:t>签约酬金为暂定合同金额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最终结算</w:t>
      </w:r>
      <w:r>
        <w:rPr>
          <w:rFonts w:hint="eastAsia" w:ascii="宋体" w:hAnsi="宋体" w:cs="宋体"/>
          <w:color w:val="auto"/>
          <w:sz w:val="21"/>
          <w:szCs w:val="21"/>
          <w:highlight w:val="none"/>
          <w:lang w:val="en-US" w:eastAsia="zh-CN"/>
        </w:rPr>
        <w:t>以</w:t>
      </w:r>
      <w:r>
        <w:rPr>
          <w:rFonts w:hint="eastAsia" w:ascii="宋体" w:hAnsi="宋体" w:eastAsia="宋体" w:cs="宋体"/>
          <w:color w:val="auto"/>
          <w:sz w:val="21"/>
          <w:szCs w:val="21"/>
          <w:highlight w:val="none"/>
          <w:lang w:val="en-US" w:eastAsia="zh-CN"/>
        </w:rPr>
        <w:t>费率结算，详见本合同专用条款相关内容。</w:t>
      </w:r>
    </w:p>
    <w:p w14:paraId="23E0EB4F">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六、期限</w:t>
      </w:r>
    </w:p>
    <w:p w14:paraId="7AE7229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日历天(具体开工日期以发包人书面通知为准，监理服务期与施工工期同步，自开工之日起至工程保修期满为止;施工工期延长的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施工和保修阶段监理服务期均顺延且不增加监理费用）。</w:t>
      </w:r>
    </w:p>
    <w:p w14:paraId="389BE8AB">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七、双方承诺</w:t>
      </w:r>
    </w:p>
    <w:p w14:paraId="6AE529D5">
      <w:pPr>
        <w:adjustRightInd w:val="0"/>
        <w:snapToGrid w:val="0"/>
        <w:spacing w:line="360" w:lineRule="auto"/>
        <w:ind w:firstLine="415" w:firstLineChars="198"/>
        <w:outlineLvl w:val="2"/>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1. 监理人向委托人承诺，按照本合同约定</w:t>
      </w:r>
      <w:r>
        <w:rPr>
          <w:rFonts w:hint="eastAsia" w:ascii="宋体" w:hAnsi="宋体" w:eastAsia="宋体" w:cs="宋体"/>
          <w:color w:val="auto"/>
          <w:kern w:val="0"/>
          <w:sz w:val="21"/>
          <w:szCs w:val="21"/>
          <w:highlight w:val="none"/>
        </w:rPr>
        <w:t>提供</w:t>
      </w:r>
      <w:r>
        <w:rPr>
          <w:rFonts w:hint="eastAsia" w:ascii="宋体" w:hAnsi="宋体" w:eastAsia="宋体" w:cs="宋体"/>
          <w:color w:val="auto"/>
          <w:sz w:val="21"/>
          <w:szCs w:val="21"/>
          <w:highlight w:val="none"/>
        </w:rPr>
        <w:t>监理与相关服务。</w:t>
      </w:r>
    </w:p>
    <w:p w14:paraId="78C54CB2">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八、合同订立</w:t>
      </w:r>
    </w:p>
    <w:p w14:paraId="3A16E497">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订立时间：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3B0536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订立地点：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B135661">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正本贰份，委托人及监理人各执一份；副本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份，委托人执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份，监理人执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w:t>
      </w:r>
    </w:p>
    <w:p w14:paraId="45882ECD">
      <w:pPr>
        <w:adjustRightInd w:val="0"/>
        <w:snapToGrid w:val="0"/>
        <w:spacing w:line="360" w:lineRule="auto"/>
        <w:ind w:firstLine="415" w:firstLineChars="198"/>
        <w:rPr>
          <w:rFonts w:hint="eastAsia" w:ascii="宋体" w:hAnsi="宋体" w:eastAsia="宋体" w:cs="宋体"/>
          <w:color w:val="auto"/>
          <w:sz w:val="21"/>
          <w:szCs w:val="21"/>
          <w:highlight w:val="none"/>
        </w:rPr>
      </w:pPr>
    </w:p>
    <w:p w14:paraId="49530DA5">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w:t>
      </w:r>
      <w:r>
        <w:rPr>
          <w:rFonts w:hint="eastAsia" w:ascii="宋体" w:hAnsi="宋体" w:eastAsia="宋体" w:cs="宋体"/>
          <w:color w:val="auto"/>
          <w:sz w:val="21"/>
          <w:szCs w:val="21"/>
          <w:highlight w:val="none"/>
          <w:u w:val="single"/>
        </w:rPr>
        <w:t xml:space="preserve">   （盖章）         </w:t>
      </w:r>
      <w:r>
        <w:rPr>
          <w:rFonts w:hint="eastAsia" w:ascii="宋体" w:hAnsi="宋体" w:eastAsia="宋体" w:cs="宋体"/>
          <w:color w:val="auto"/>
          <w:sz w:val="21"/>
          <w:szCs w:val="21"/>
          <w:highlight w:val="none"/>
        </w:rPr>
        <w:t xml:space="preserve">        监理人：</w:t>
      </w:r>
      <w:r>
        <w:rPr>
          <w:rFonts w:hint="eastAsia" w:ascii="宋体" w:hAnsi="宋体" w:eastAsia="宋体" w:cs="宋体"/>
          <w:color w:val="auto"/>
          <w:sz w:val="21"/>
          <w:szCs w:val="21"/>
          <w:highlight w:val="none"/>
          <w:u w:val="single"/>
        </w:rPr>
        <w:t xml:space="preserve">     （盖章）        </w:t>
      </w:r>
    </w:p>
    <w:p w14:paraId="0DE44E1E">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住所：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住所： </w:t>
      </w:r>
      <w:r>
        <w:rPr>
          <w:rFonts w:hint="eastAsia" w:ascii="宋体" w:hAnsi="宋体" w:eastAsia="宋体" w:cs="宋体"/>
          <w:color w:val="auto"/>
          <w:sz w:val="21"/>
          <w:szCs w:val="21"/>
          <w:highlight w:val="none"/>
          <w:u w:val="single"/>
        </w:rPr>
        <w:t xml:space="preserve">                      </w:t>
      </w:r>
    </w:p>
    <w:p w14:paraId="04CDAA5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p>
    <w:p w14:paraId="641042AF">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法定代表人或其授权                  法定代表人或其授权</w:t>
      </w:r>
    </w:p>
    <w:p w14:paraId="251184DE">
      <w:pPr>
        <w:adjustRightInd w:val="0"/>
        <w:snapToGrid w:val="0"/>
        <w:spacing w:line="360" w:lineRule="auto"/>
        <w:ind w:firstLine="415" w:firstLineChars="198"/>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的代理人：</w:t>
      </w:r>
      <w:r>
        <w:rPr>
          <w:rFonts w:hint="eastAsia" w:ascii="宋体" w:hAnsi="宋体" w:eastAsia="宋体" w:cs="宋体"/>
          <w:color w:val="auto"/>
          <w:sz w:val="21"/>
          <w:szCs w:val="21"/>
          <w:highlight w:val="none"/>
          <w:u w:val="single"/>
        </w:rPr>
        <w:t xml:space="preserve"> （签字</w:t>
      </w:r>
      <w:r>
        <w:rPr>
          <w:rFonts w:hint="eastAsia" w:ascii="宋体" w:hAnsi="宋体" w:eastAsia="宋体" w:cs="宋体"/>
          <w:color w:val="auto"/>
          <w:sz w:val="21"/>
          <w:szCs w:val="21"/>
          <w:highlight w:val="none"/>
          <w:u w:val="single"/>
          <w:lang w:val="en-US" w:eastAsia="zh-CN"/>
        </w:rPr>
        <w:t>或盖章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的代理人：</w:t>
      </w:r>
      <w:r>
        <w:rPr>
          <w:rFonts w:hint="eastAsia" w:ascii="宋体" w:hAnsi="宋体" w:eastAsia="宋体" w:cs="宋体"/>
          <w:color w:val="auto"/>
          <w:sz w:val="21"/>
          <w:szCs w:val="21"/>
          <w:highlight w:val="none"/>
          <w:u w:val="single"/>
        </w:rPr>
        <w:t xml:space="preserve"> （签字</w:t>
      </w:r>
      <w:r>
        <w:rPr>
          <w:rFonts w:hint="eastAsia" w:ascii="宋体" w:hAnsi="宋体" w:eastAsia="宋体" w:cs="宋体"/>
          <w:color w:val="auto"/>
          <w:sz w:val="21"/>
          <w:szCs w:val="21"/>
          <w:highlight w:val="none"/>
          <w:u w:val="single"/>
          <w:lang w:val="en-US" w:eastAsia="zh-CN"/>
        </w:rPr>
        <w:t>或盖章</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p>
    <w:p w14:paraId="4AC69B2A">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u w:val="single"/>
        </w:rPr>
        <w:t xml:space="preserve">                   </w:t>
      </w:r>
    </w:p>
    <w:p w14:paraId="168B671F">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账号：</w:t>
      </w:r>
      <w:r>
        <w:rPr>
          <w:rFonts w:hint="eastAsia" w:ascii="宋体" w:hAnsi="宋体" w:eastAsia="宋体" w:cs="宋体"/>
          <w:color w:val="auto"/>
          <w:sz w:val="21"/>
          <w:szCs w:val="21"/>
          <w:highlight w:val="none"/>
          <w:u w:val="single"/>
        </w:rPr>
        <w:t xml:space="preserve">                       </w:t>
      </w:r>
    </w:p>
    <w:p w14:paraId="57FA48D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电话：</w:t>
      </w:r>
      <w:r>
        <w:rPr>
          <w:rFonts w:hint="eastAsia" w:ascii="宋体" w:hAnsi="宋体" w:eastAsia="宋体" w:cs="宋体"/>
          <w:color w:val="auto"/>
          <w:sz w:val="21"/>
          <w:szCs w:val="21"/>
          <w:highlight w:val="none"/>
          <w:u w:val="single"/>
        </w:rPr>
        <w:t xml:space="preserve">                       </w:t>
      </w:r>
    </w:p>
    <w:p w14:paraId="72938B2D">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传真：</w:t>
      </w:r>
      <w:r>
        <w:rPr>
          <w:rFonts w:hint="eastAsia" w:ascii="宋体" w:hAnsi="宋体" w:eastAsia="宋体" w:cs="宋体"/>
          <w:color w:val="auto"/>
          <w:sz w:val="21"/>
          <w:szCs w:val="21"/>
          <w:highlight w:val="none"/>
          <w:u w:val="single"/>
        </w:rPr>
        <w:t xml:space="preserve">                       </w:t>
      </w:r>
    </w:p>
    <w:p w14:paraId="3010ACF1">
      <w:pPr>
        <w:adjustRightInd w:val="0"/>
        <w:snapToGrid w:val="0"/>
        <w:spacing w:line="360" w:lineRule="auto"/>
        <w:ind w:firstLine="415" w:firstLineChars="198"/>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电子邮箱：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电子邮箱：</w:t>
      </w:r>
      <w:r>
        <w:rPr>
          <w:rFonts w:hint="eastAsia" w:ascii="宋体" w:hAnsi="宋体" w:eastAsia="宋体" w:cs="宋体"/>
          <w:color w:val="auto"/>
          <w:sz w:val="21"/>
          <w:szCs w:val="21"/>
          <w:highlight w:val="none"/>
          <w:u w:val="single"/>
        </w:rPr>
        <w:t xml:space="preserve">                   </w:t>
      </w:r>
    </w:p>
    <w:p w14:paraId="7436920E">
      <w:pPr>
        <w:numPr>
          <w:ilvl w:val="0"/>
          <w:numId w:val="0"/>
        </w:numPr>
        <w:spacing w:line="360" w:lineRule="auto"/>
        <w:jc w:val="center"/>
        <w:outlineLvl w:val="0"/>
        <w:rPr>
          <w:rFonts w:hint="eastAsia" w:ascii="楷体" w:hAnsi="楷体" w:eastAsia="楷体" w:cs="楷体"/>
          <w:b/>
          <w:bCs/>
          <w:color w:val="auto"/>
          <w:sz w:val="24"/>
          <w:szCs w:val="24"/>
          <w:highlight w:val="none"/>
        </w:rPr>
      </w:pPr>
      <w:r>
        <w:rPr>
          <w:rFonts w:hint="eastAsia" w:ascii="楷体" w:hAnsi="楷体" w:eastAsia="楷体" w:cs="楷体"/>
          <w:color w:val="auto"/>
          <w:sz w:val="24"/>
          <w:szCs w:val="24"/>
          <w:highlight w:val="none"/>
        </w:rPr>
        <w:br w:type="page"/>
      </w:r>
      <w:r>
        <w:rPr>
          <w:rFonts w:hint="eastAsia" w:ascii="宋体" w:hAnsi="宋体" w:eastAsia="宋体" w:cs="宋体"/>
          <w:b/>
          <w:bCs/>
          <w:color w:val="auto"/>
          <w:sz w:val="24"/>
          <w:szCs w:val="24"/>
          <w:highlight w:val="none"/>
          <w:lang w:val="en-US" w:eastAsia="zh-CN"/>
        </w:rPr>
        <w:t xml:space="preserve">第二部分  </w:t>
      </w:r>
      <w:r>
        <w:rPr>
          <w:rFonts w:hint="eastAsia" w:ascii="宋体" w:hAnsi="宋体" w:eastAsia="宋体" w:cs="宋体"/>
          <w:b/>
          <w:bCs/>
          <w:color w:val="auto"/>
          <w:sz w:val="24"/>
          <w:szCs w:val="24"/>
          <w:highlight w:val="none"/>
        </w:rPr>
        <w:t>通用条件</w:t>
      </w:r>
    </w:p>
    <w:p w14:paraId="3268B35E">
      <w:pPr>
        <w:spacing w:line="360" w:lineRule="auto"/>
        <w:ind w:firstLine="42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 定义与解释</w:t>
      </w:r>
    </w:p>
    <w:p w14:paraId="344F2044">
      <w:pPr>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 xml:space="preserve">1.1 </w:t>
      </w:r>
      <w:r>
        <w:rPr>
          <w:rFonts w:hint="eastAsia" w:ascii="宋体" w:hAnsi="宋体" w:eastAsia="宋体" w:cs="宋体"/>
          <w:bCs/>
          <w:color w:val="auto"/>
          <w:sz w:val="21"/>
          <w:szCs w:val="21"/>
          <w:highlight w:val="none"/>
        </w:rPr>
        <w:t>定义</w:t>
      </w:r>
    </w:p>
    <w:p w14:paraId="12A51508">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除根据上下文另有其意义外，组成本合同的全部文件中的下列名词和用语应具有本款所赋予的含义：</w:t>
      </w:r>
    </w:p>
    <w:p w14:paraId="3816B566">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 “工程”是指按照本合同约定实施监理与相关服务的建设工程。</w:t>
      </w:r>
    </w:p>
    <w:p w14:paraId="514D9366">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“委托人”是指本合同中委托监理与相关服务的一方，及其合法的继承人或受让人。</w:t>
      </w:r>
    </w:p>
    <w:p w14:paraId="36058A9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 “监理人”是指本合同中提供监理与相关服务的一方，及其合法的继承人。</w:t>
      </w:r>
    </w:p>
    <w:p w14:paraId="3B74FC48">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 “承包人”是指在工程范围内与委托人签订勘察、设计、施工等有关合同的当事人，及其合法的继承人。</w:t>
      </w:r>
    </w:p>
    <w:p w14:paraId="73CBF5BB">
      <w:pPr>
        <w:pStyle w:val="3"/>
        <w:tabs>
          <w:tab w:val="left" w:pos="5890"/>
          <w:tab w:val="left" w:leader="middleDot" w:pos="8108"/>
        </w:tabs>
        <w:spacing w:line="360" w:lineRule="auto"/>
        <w:ind w:firstLine="42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389391DE">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 “相关服务”是指监理人受委托人的委托 ，按照本合同约定，在勘察、设计、保修等阶段提供的服务活动。</w:t>
      </w:r>
    </w:p>
    <w:p w14:paraId="342AF0C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1.1.7 “正常工作”指本合同订立时通用条件和专用条件中约定的监理人的工作。</w:t>
      </w:r>
    </w:p>
    <w:p w14:paraId="3FF8A9BC">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1.1.8 “附加工作”是指本合同约定的正常工作以外监理人的工作。</w:t>
      </w:r>
    </w:p>
    <w:p w14:paraId="449DCC62">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1.1.9 “项目监理机构”是指监理人派驻工程负责履行本合同的组织机构。</w:t>
      </w:r>
    </w:p>
    <w:p w14:paraId="430E18C9">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1.1.10 “总监理工程师”是指由监理人的法定代表人书面授权，全面负责履行本合同、主持项目监理机构工作的注册监理工程师。</w:t>
      </w:r>
    </w:p>
    <w:p w14:paraId="5656A75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 “酬金”是指监理人履行本合同义务，委托人按照本合同约定给付监理人的金额。</w:t>
      </w:r>
    </w:p>
    <w:p w14:paraId="2BCC6A6C">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1.1.12 “正常工作酬金”是指监理人完成正常工作，委托人应给付监理人并在协议书中载明的签约酬金额。</w:t>
      </w:r>
    </w:p>
    <w:p w14:paraId="07A3F5E4">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1.1.13 “附加工作酬金”是指监理人完成附加工作，委托人应给付监理人的金额。</w:t>
      </w:r>
    </w:p>
    <w:p w14:paraId="2332C79D">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1.1.14 “一方”是指委托人或监理人；“双方”是指委托人和监理人；“第三方”是指除委托人和监理人以外的有关方。</w:t>
      </w:r>
    </w:p>
    <w:p w14:paraId="33A6E82C">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1.1.15 “书面形式”是指合同书、信件和数据电文（包括电报、电传、传真、电子数据交换和电子邮件）等可以有形地表现所载内容的形式。</w:t>
      </w:r>
    </w:p>
    <w:p w14:paraId="0727599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1.1.16 “天”是指第一天零时至第二天零时的时间。</w:t>
      </w:r>
    </w:p>
    <w:p w14:paraId="70A36E92">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1.1.17“月”是指按公历从一个月中任何一天开始的一个公历月时间。</w:t>
      </w:r>
    </w:p>
    <w:p w14:paraId="318C19DD">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172C201F">
      <w:pPr>
        <w:adjustRightInd w:val="0"/>
        <w:snapToGrid w:val="0"/>
        <w:spacing w:line="360" w:lineRule="auto"/>
        <w:ind w:left="210" w:leftChars="10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 xml:space="preserve">1.2 </w:t>
      </w:r>
      <w:r>
        <w:rPr>
          <w:rFonts w:hint="eastAsia" w:ascii="宋体" w:hAnsi="宋体" w:eastAsia="宋体" w:cs="宋体"/>
          <w:color w:val="auto"/>
          <w:sz w:val="21"/>
          <w:szCs w:val="21"/>
          <w:highlight w:val="none"/>
        </w:rPr>
        <w:t>解释</w:t>
      </w:r>
    </w:p>
    <w:p w14:paraId="2B919685">
      <w:pPr>
        <w:tabs>
          <w:tab w:val="left" w:pos="6140"/>
        </w:tabs>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1.2.1本合同使用中文书写、解释和说明。如专用条件约定使用两种及以上语言文字时，应以中文为准。</w:t>
      </w:r>
    </w:p>
    <w:p w14:paraId="2E544C9C">
      <w:pPr>
        <w:tabs>
          <w:tab w:val="left" w:pos="6140"/>
        </w:tabs>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 组成本合同的下列文件彼此应能相互解释、互为说明。除专用条件另有约定外，本合同文件的解释顺序如下：</w:t>
      </w:r>
    </w:p>
    <w:p w14:paraId="389F758C">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（1）协议书；</w:t>
      </w:r>
    </w:p>
    <w:p w14:paraId="5F11FE9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（2）成交通知书（适用于招标工程）或委托书（适用于非招标工程）；</w:t>
      </w:r>
    </w:p>
    <w:p w14:paraId="24CE643F">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（3）专用条件及附录A、附录B；</w:t>
      </w:r>
    </w:p>
    <w:p w14:paraId="45B11AC6">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（4）通用条件；</w:t>
      </w:r>
    </w:p>
    <w:p w14:paraId="0C64751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（5）投标文件（适用于招标工程）或监理与相关服务建议书（适用于非招标工程）。</w:t>
      </w:r>
    </w:p>
    <w:p w14:paraId="5303AE6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双方签订的补充协议与其他文件发生矛盾或歧义时，属于同一类内容的文件，应以最新签署的为准。</w:t>
      </w:r>
    </w:p>
    <w:p w14:paraId="32A4F07A">
      <w:pPr>
        <w:spacing w:line="360" w:lineRule="auto"/>
        <w:ind w:firstLine="42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 监理人的义务</w:t>
      </w:r>
    </w:p>
    <w:p w14:paraId="66808FE8">
      <w:pPr>
        <w:adjustRightInd w:val="0"/>
        <w:snapToGrid w:val="0"/>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2.1 监理的范围和工作内容</w:t>
      </w:r>
    </w:p>
    <w:p w14:paraId="73C8C9AC">
      <w:pPr>
        <w:adjustRightInd w:val="0"/>
        <w:snapToGrid w:val="0"/>
        <w:spacing w:line="360" w:lineRule="auto"/>
        <w:ind w:left="420" w:left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 监理范围在专用条件中约定。</w:t>
      </w:r>
    </w:p>
    <w:p w14:paraId="2106F9F5">
      <w:pPr>
        <w:adjustRightInd w:val="0"/>
        <w:snapToGrid w:val="0"/>
        <w:spacing w:line="360" w:lineRule="auto"/>
        <w:ind w:left="420" w:left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2.1.2 除专用条件另有约定外，监理工作内容包括：</w:t>
      </w:r>
    </w:p>
    <w:p w14:paraId="2D634B2C">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（1）收到工程设计文件后编制监理规划，并在第一次工地会议7天前报委托人。根据有关规定和监理工作需要，编制监理实施细则；</w:t>
      </w:r>
    </w:p>
    <w:p w14:paraId="4D61FEA7">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（2）熟悉工程设计文件，并参加由委托人主持的图纸会审和设计交底会议；</w:t>
      </w:r>
    </w:p>
    <w:p w14:paraId="6B3B0849">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（3）参加由委托人主持的第一次工地会议；主持监理例会并根据工程需要主持或参加专题会议；</w:t>
      </w:r>
    </w:p>
    <w:p w14:paraId="4CD8F16F">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（4）审查施工承包人提交的施工组织设计，重点审查其中的质量安全技术措施、专项施工方案与工程建设强制性标准的符合性；</w:t>
      </w:r>
    </w:p>
    <w:p w14:paraId="579ED107">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（5）检查施工承包人工程质量、安全生产管理制度及组织机构和人员资格； </w:t>
      </w:r>
    </w:p>
    <w:p w14:paraId="06219C87">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（6）检查施工承包人专职安全生产管理人员的配备情况；</w:t>
      </w:r>
    </w:p>
    <w:p w14:paraId="546C6D59">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（7）审查施工承包人提交的施工进度计划，核查承包人对施工进度计划的调整；</w:t>
      </w:r>
    </w:p>
    <w:p w14:paraId="78D1D3A2">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（8）检查施工承包人的试验室；</w:t>
      </w:r>
    </w:p>
    <w:p w14:paraId="7A87DF66">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（9）审核施工分包人资质条件；</w:t>
      </w:r>
    </w:p>
    <w:p w14:paraId="27D40C2C">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（10）查验施工承包人的施工测量放线成果；</w:t>
      </w:r>
    </w:p>
    <w:p w14:paraId="4BAA89BA">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（11）审查工程开工条件，对条件具备的签发开工令；</w:t>
      </w:r>
    </w:p>
    <w:p w14:paraId="3D0CB68A">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（12）审查施工承包人报送的工程材料、构配件、设备质量证明文件的有效性和符合性，并按规定对用于工程的材料采取平行检验或见证取样方式进行抽检；</w:t>
      </w:r>
    </w:p>
    <w:p w14:paraId="1BFE14EC">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（13）审核施工承包人提交的工程款支付申请，签发或出具工程款支付证书，并报委托人审核、批准；</w:t>
      </w:r>
    </w:p>
    <w:p w14:paraId="38C4CC57">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（14）在巡视、旁站和检验过程中，发现工程质量、施工安全存在事故隐患的，要求施工承包人整改并报委托人；</w:t>
      </w:r>
    </w:p>
    <w:p w14:paraId="70290F5C">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（15）经委托人同意，签发工程暂停令和复工令；</w:t>
      </w:r>
    </w:p>
    <w:p w14:paraId="10595688">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（16）审查施工承包人提交的采用新材料、新工艺、新技术、新设备的论证材料及相关验收标准；</w:t>
      </w:r>
    </w:p>
    <w:p w14:paraId="0C00FCFC">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（17）验收隐蔽工程、分部分项工程；</w:t>
      </w:r>
    </w:p>
    <w:p w14:paraId="2F077C8D">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（18）审查施工承包人提交的工程变更申请，协调处理施工进度调整、费用索赔、合同争议等事项；</w:t>
      </w:r>
    </w:p>
    <w:p w14:paraId="77DD934A">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（19）审查施工承包人提交的竣工验收申请，编写工程质量评估报告；</w:t>
      </w:r>
    </w:p>
    <w:p w14:paraId="77E92FB4">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（20）参加工程竣工验收，签署竣工验收意见；</w:t>
      </w:r>
    </w:p>
    <w:p w14:paraId="264CC6C5">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（21）审查施工承包人提交的竣工结算申请并报委托人；</w:t>
      </w:r>
    </w:p>
    <w:p w14:paraId="49218E50">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（22）编制、整理工程监理归档文件并报委托人。</w:t>
      </w:r>
    </w:p>
    <w:p w14:paraId="0C15E761">
      <w:pPr>
        <w:spacing w:line="360" w:lineRule="auto"/>
        <w:ind w:left="420" w:leftChars="200" w:firstLine="105" w:firstLineChars="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 相关服务的范围和内容在附录A中约定。</w:t>
      </w:r>
    </w:p>
    <w:p w14:paraId="5B728EEC">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 xml:space="preserve">2.2 </w:t>
      </w:r>
      <w:r>
        <w:rPr>
          <w:rFonts w:hint="eastAsia" w:ascii="宋体" w:hAnsi="宋体" w:eastAsia="宋体" w:cs="宋体"/>
          <w:bCs/>
          <w:color w:val="auto"/>
          <w:sz w:val="21"/>
          <w:szCs w:val="21"/>
          <w:highlight w:val="none"/>
        </w:rPr>
        <w:t>监理与相关服务依据</w:t>
      </w:r>
    </w:p>
    <w:p w14:paraId="28FA91D9">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 监理依据包括：</w:t>
      </w:r>
    </w:p>
    <w:p w14:paraId="3CE3BCB2">
      <w:pPr>
        <w:adjustRightInd w:val="0"/>
        <w:snapToGrid w:val="0"/>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（1）适用的法律、行政法规及部门规章；</w:t>
      </w:r>
    </w:p>
    <w:p w14:paraId="4737571B">
      <w:pPr>
        <w:adjustRightInd w:val="0"/>
        <w:snapToGrid w:val="0"/>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（2）与工程有关的标准；</w:t>
      </w:r>
    </w:p>
    <w:p w14:paraId="5E7F7EEB">
      <w:pPr>
        <w:adjustRightInd w:val="0"/>
        <w:snapToGrid w:val="0"/>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（3）工程设计及有关文件；</w:t>
      </w:r>
    </w:p>
    <w:p w14:paraId="6D86DC6F">
      <w:pPr>
        <w:adjustRightInd w:val="0"/>
        <w:snapToGrid w:val="0"/>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（4）本合同及委托人与第三方签订的与实施工程有关的其他合同。</w:t>
      </w:r>
    </w:p>
    <w:p w14:paraId="6284E3BE">
      <w:pPr>
        <w:spacing w:line="360" w:lineRule="auto"/>
        <w:ind w:left="210" w:leftChars="10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双方根据工程的行业和地域特点，在专用条件中具体约定监理依据。</w:t>
      </w:r>
    </w:p>
    <w:p w14:paraId="6550750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 相关服务依据在专用条件中约定。</w:t>
      </w:r>
    </w:p>
    <w:p w14:paraId="57F605BF">
      <w:pPr>
        <w:spacing w:line="360" w:lineRule="auto"/>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 项目监理机构和人员</w:t>
      </w:r>
    </w:p>
    <w:p w14:paraId="3A4373DA">
      <w:pPr>
        <w:adjustRightInd w:val="0"/>
        <w:snapToGrid w:val="0"/>
        <w:spacing w:line="360" w:lineRule="auto"/>
        <w:ind w:firstLine="42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2.3.1 监理人应组建满足工作需要的项目监理机构，配备必要的检测设备。项目监理机构的主要人员应具有相应的资格条件。</w:t>
      </w:r>
    </w:p>
    <w:p w14:paraId="0DCA549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2.3.2本合同履行过程中，总监理工程师及重要岗位监理人员应保持相对稳定，以保证监理工作正常进行。</w:t>
      </w:r>
    </w:p>
    <w:p w14:paraId="28AD8024">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05EFAC89">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2.3.4 监理人应及时更换有下列情形之一的监理人员：</w:t>
      </w:r>
    </w:p>
    <w:p w14:paraId="45C43779">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（1）严重过失行为的；</w:t>
      </w:r>
    </w:p>
    <w:p w14:paraId="7BADD240">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（2）有违法行为不能履行职责的；</w:t>
      </w:r>
    </w:p>
    <w:p w14:paraId="0798DB5E">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（3）涉嫌犯罪的；</w:t>
      </w:r>
    </w:p>
    <w:p w14:paraId="615E8516">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（4）不能胜任岗位职责的；</w:t>
      </w:r>
    </w:p>
    <w:p w14:paraId="39E36199">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（5）严重违反职业道德的；</w:t>
      </w:r>
    </w:p>
    <w:p w14:paraId="659F9B21">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（6）专用条件约定的其他情形。</w:t>
      </w:r>
    </w:p>
    <w:p w14:paraId="1E101AE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2.3.5 委托人可要求监理人更换不能胜任本职工作的项目监理机构人员。</w:t>
      </w:r>
    </w:p>
    <w:p w14:paraId="160F9FA7">
      <w:pPr>
        <w:spacing w:line="360" w:lineRule="auto"/>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 履行职责</w:t>
      </w:r>
    </w:p>
    <w:p w14:paraId="75F33D97">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监理人应遵循职业道德准则和行为规范，严格按照法律法规、工程建设有关标准及本合同履行职责。</w:t>
      </w:r>
    </w:p>
    <w:p w14:paraId="35F2A35C">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2.4.1 在监理与相关服务范围内，委托人和承包人提出的意见和要求，监理人应及时提出处置意见。当委托人与承包人之间发生合同争议时，监理人应协助委托人、承包人协商解决。</w:t>
      </w:r>
    </w:p>
    <w:p w14:paraId="608BB7D0">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2.4.2 当委托人与承包人之间的合同争议提交仲裁机构仲裁或人民法院审理时，监理人应提供必要的证明资料。</w:t>
      </w:r>
    </w:p>
    <w:p w14:paraId="1AB77A84">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2.4.3 监理人应在专用条件约定的授权范围内，处理委托人与承包人所签订合同的变更事宜。如果变更超过授权范围，应以书面形式报委托人批准。</w:t>
      </w:r>
    </w:p>
    <w:p w14:paraId="07748D4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在紧急情况下，为了保护财产和人身安全，监理人所发出的指令未能事先报委托人批准时，应在发出指令后的24小时内以书面形式报委托人。</w:t>
      </w:r>
    </w:p>
    <w:p w14:paraId="1D6FAC6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2.4.4 除专用条件另有约定外，监理人发现承包人的人员不能胜任本职工作的，有权要求承包人予以调换。</w:t>
      </w:r>
    </w:p>
    <w:p w14:paraId="34003EA0">
      <w:pPr>
        <w:spacing w:line="360" w:lineRule="auto"/>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 提交报告</w:t>
      </w:r>
    </w:p>
    <w:p w14:paraId="337C623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监理人应按专用条件约定的种类、时间和份数向委托人提交监理与相关服务的报告。</w:t>
      </w:r>
    </w:p>
    <w:p w14:paraId="7F12139D">
      <w:pPr>
        <w:spacing w:line="360" w:lineRule="auto"/>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2.6 文件资料</w:t>
      </w:r>
    </w:p>
    <w:p w14:paraId="01F51D7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在本合同履行期内，监理人应在现场保留工作所用的图纸、报告及记录监理工作的相关文件。工程竣工后，应当按照档案管理规定将监理有关文件归档。</w:t>
      </w:r>
    </w:p>
    <w:p w14:paraId="6750E329">
      <w:pPr>
        <w:spacing w:line="360" w:lineRule="auto"/>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2.7 使用委托人的财产</w:t>
      </w:r>
    </w:p>
    <w:p w14:paraId="786261C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78A6AD81">
      <w:pPr>
        <w:spacing w:line="360" w:lineRule="auto"/>
        <w:ind w:firstLine="42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3．委托人的义务</w:t>
      </w:r>
    </w:p>
    <w:p w14:paraId="10D63AF7">
      <w:pPr>
        <w:spacing w:line="360" w:lineRule="auto"/>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 告知</w:t>
      </w:r>
    </w:p>
    <w:p w14:paraId="2BB33C4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委托人应在委托人与承包人签订的合同中明确监理人、总监理工程师和授予项目监理机构的权限。如有变更，应及时通知承包人。</w:t>
      </w:r>
    </w:p>
    <w:p w14:paraId="751C3168">
      <w:pPr>
        <w:spacing w:line="360" w:lineRule="auto"/>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 提供资料</w:t>
      </w:r>
    </w:p>
    <w:p w14:paraId="30F1CD2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委托人应按照附录B约定，无偿向监理人提供工程有关的资料。在本合同履行过程中，委托人应及时向监理人提供最新的与工程有关的资料。</w:t>
      </w:r>
    </w:p>
    <w:p w14:paraId="7915B415">
      <w:pPr>
        <w:spacing w:line="360" w:lineRule="auto"/>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 提供工作条件</w:t>
      </w:r>
    </w:p>
    <w:p w14:paraId="6062368C">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委托人应为监理人完成监理与相关服务提供必要的条件。</w:t>
      </w:r>
    </w:p>
    <w:p w14:paraId="7776429F">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3.3.1 委托人应按照附录B约定，派遣相应的人员，提供房屋、设备，供监理人无偿使用。</w:t>
      </w:r>
    </w:p>
    <w:p w14:paraId="0A7CBDC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3.3.2 委托人应负责协调工程建设中所有外部关系，为监理人履行本合同提供必要的外部条件。</w:t>
      </w:r>
    </w:p>
    <w:p w14:paraId="1C58F5D9">
      <w:pPr>
        <w:snapToGrid w:val="0"/>
        <w:spacing w:line="360" w:lineRule="auto"/>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 委托人代表</w:t>
      </w:r>
    </w:p>
    <w:p w14:paraId="6B911ADF">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委托人应授权一名熟悉工程情况的代表，负责与监理人联系。委托人应在双方签订本合同后7天内，将委托人代表的姓名和职责书面告知监理人。当委托人更换委托人代表时，应提前7天通知监理人。</w:t>
      </w:r>
    </w:p>
    <w:p w14:paraId="59E96F0A">
      <w:pPr>
        <w:snapToGrid w:val="0"/>
        <w:spacing w:line="360" w:lineRule="auto"/>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 委托人意见或要求</w:t>
      </w:r>
    </w:p>
    <w:p w14:paraId="221ABAB2">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在本合同约定的监理与相关服务工作范围内，委托人对承包人的任何意见或要求应通知监理人，由监理人向承包人发出相应指令。</w:t>
      </w:r>
    </w:p>
    <w:p w14:paraId="205E83A3">
      <w:pPr>
        <w:snapToGrid w:val="0"/>
        <w:spacing w:line="360" w:lineRule="auto"/>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 答复</w:t>
      </w:r>
    </w:p>
    <w:p w14:paraId="03AB81BF">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委托人应在专用条件约定的时间内，对监理人以书面形式提交并要求作出决定的事宜，给予书面答复。逾期未答复的，视为委托人认可。</w:t>
      </w:r>
    </w:p>
    <w:p w14:paraId="31EEF31D">
      <w:pPr>
        <w:snapToGrid w:val="0"/>
        <w:spacing w:line="360" w:lineRule="auto"/>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 支付</w:t>
      </w:r>
    </w:p>
    <w:p w14:paraId="0F30244C">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委托人应按本合同约定，向监理人支付酬金。</w:t>
      </w:r>
    </w:p>
    <w:p w14:paraId="0EE3FF0B">
      <w:pPr>
        <w:snapToGrid w:val="0"/>
        <w:spacing w:line="360" w:lineRule="auto"/>
        <w:ind w:firstLine="42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4. 违约责任</w:t>
      </w:r>
    </w:p>
    <w:p w14:paraId="33534243">
      <w:pPr>
        <w:spacing w:line="360" w:lineRule="auto"/>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 监理人的违约责任</w:t>
      </w:r>
    </w:p>
    <w:p w14:paraId="7E9F71F6">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监理人未履行本合同义务的，应承担相应的责任。</w:t>
      </w:r>
    </w:p>
    <w:p w14:paraId="6DC7E4D6">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 因监理人违反本合同约定给委托人造成损失的，监理人应当赔偿委托人损失。赔偿金额的确定方法在专用条件中约定。监理人承担部分赔偿责任的，其承担赔偿金额由双方协商确定。</w:t>
      </w:r>
    </w:p>
    <w:p w14:paraId="0FC79FA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4.1.2 监理人向委托人的索赔不成立时，监理人应赔偿委托人由此发生的费用。</w:t>
      </w:r>
    </w:p>
    <w:p w14:paraId="668D00A4">
      <w:pPr>
        <w:snapToGrid w:val="0"/>
        <w:spacing w:line="360" w:lineRule="auto"/>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 委托人的违约责任</w:t>
      </w:r>
    </w:p>
    <w:p w14:paraId="0F4705C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委托人未履行本合同义务的，应承担相应的责任。</w:t>
      </w:r>
    </w:p>
    <w:p w14:paraId="774188C7">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4.2.1 委托人违反本合同约定造成监理人损失的，委托人应予以赔偿。</w:t>
      </w:r>
    </w:p>
    <w:p w14:paraId="57BFFD9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4.2.2 委托人向监理人的索赔不成立时，应赔偿监理人由此引起的费用。</w:t>
      </w:r>
    </w:p>
    <w:p w14:paraId="3EDDA25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4.2.3 委托人未能按期支付酬金超过28天，应按专用条件约定支付逾期付款利息。</w:t>
      </w:r>
    </w:p>
    <w:p w14:paraId="20E751B7">
      <w:pPr>
        <w:spacing w:line="360" w:lineRule="auto"/>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 除外责任</w:t>
      </w:r>
    </w:p>
    <w:p w14:paraId="73C79F2D">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因非监理人的原因，且监理人无过错，发生工程质量事故、安全事故、工期延误等造成的损失，监理人不承担赔偿责任。</w:t>
      </w:r>
    </w:p>
    <w:p w14:paraId="6AA76F8D">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因不可抗力导致本合同全部或部分不能履行时，双方各自承担其因此而造成的损失、损害。</w:t>
      </w:r>
    </w:p>
    <w:p w14:paraId="2CA6757A">
      <w:pPr>
        <w:snapToGrid w:val="0"/>
        <w:spacing w:line="360" w:lineRule="auto"/>
        <w:ind w:firstLine="42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 支付</w:t>
      </w:r>
    </w:p>
    <w:p w14:paraId="66A14769">
      <w:pPr>
        <w:snapToGrid w:val="0"/>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 xml:space="preserve">5.1 </w:t>
      </w:r>
      <w:r>
        <w:rPr>
          <w:rFonts w:hint="eastAsia" w:ascii="宋体" w:hAnsi="宋体" w:eastAsia="宋体" w:cs="宋体"/>
          <w:bCs/>
          <w:color w:val="auto"/>
          <w:sz w:val="21"/>
          <w:szCs w:val="21"/>
          <w:highlight w:val="none"/>
        </w:rPr>
        <w:t>支付货币</w:t>
      </w:r>
    </w:p>
    <w:p w14:paraId="54535424">
      <w:pPr>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除专用条件另有约定外，酬金均以人民币支付。涉及外币支付的，所采用的货币种类、比例和汇率在专用条件中约定。</w:t>
      </w:r>
    </w:p>
    <w:p w14:paraId="16C2CB62">
      <w:pPr>
        <w:snapToGrid w:val="0"/>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5.2 支付申请</w:t>
      </w:r>
    </w:p>
    <w:p w14:paraId="7AAD70F4">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监理人应在本合同约定的每次应付款时间的7天前，向委托人提交支付申请书。支付申请书应当说明当期应付款总额，并列出当期应支付的款项及其金额。</w:t>
      </w:r>
    </w:p>
    <w:p w14:paraId="2446F8BB">
      <w:pPr>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5.3 支付酬金</w:t>
      </w:r>
    </w:p>
    <w:p w14:paraId="71DE67B5">
      <w:pPr>
        <w:snapToGrid w:val="0"/>
        <w:spacing w:line="360" w:lineRule="auto"/>
        <w:ind w:firstLine="42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支付的酬金包括正常工作酬金、附加工作酬金、合理化建议奖励金额及费用。</w:t>
      </w:r>
    </w:p>
    <w:p w14:paraId="2BDF64BA">
      <w:pPr>
        <w:snapToGrid w:val="0"/>
        <w:spacing w:line="360" w:lineRule="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 xml:space="preserve">  5.4 </w:t>
      </w:r>
      <w:r>
        <w:rPr>
          <w:rFonts w:hint="eastAsia" w:ascii="宋体" w:hAnsi="宋体" w:eastAsia="宋体" w:cs="宋体"/>
          <w:bCs/>
          <w:color w:val="auto"/>
          <w:sz w:val="21"/>
          <w:szCs w:val="21"/>
          <w:highlight w:val="none"/>
        </w:rPr>
        <w:t>有争议部分的付款</w:t>
      </w:r>
    </w:p>
    <w:p w14:paraId="3A1BB94A">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委托人对监理人提交的支付申请书有异议时，应当在收到监理人提交的支付申请书后7天内，以书面形式向监理人发出异议通知。无异议部分的款项应按期支付，有异议部分的款项按第7条约定办理。</w:t>
      </w:r>
    </w:p>
    <w:p w14:paraId="7706E4EB">
      <w:pPr>
        <w:snapToGrid w:val="0"/>
        <w:spacing w:line="360" w:lineRule="auto"/>
        <w:ind w:firstLine="42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6. 合同生效、变更、暂停、解除与终止</w:t>
      </w:r>
    </w:p>
    <w:p w14:paraId="6FDBD9C5">
      <w:pPr>
        <w:spacing w:line="360" w:lineRule="auto"/>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6.1生效</w:t>
      </w:r>
    </w:p>
    <w:p w14:paraId="58AB96C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除法律另有规定或者专用条件另有约定外，委托人和监理人的法定代表人或其授权代理人在协议书上签字并盖单位章后本合同生效。</w:t>
      </w:r>
    </w:p>
    <w:p w14:paraId="42D7E84C">
      <w:pPr>
        <w:snapToGrid w:val="0"/>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6.2</w:t>
      </w:r>
      <w:r>
        <w:rPr>
          <w:rFonts w:hint="eastAsia" w:ascii="宋体" w:hAnsi="宋体" w:eastAsia="宋体" w:cs="宋体"/>
          <w:bCs/>
          <w:color w:val="auto"/>
          <w:sz w:val="21"/>
          <w:szCs w:val="21"/>
          <w:highlight w:val="none"/>
        </w:rPr>
        <w:t>变更</w:t>
      </w:r>
    </w:p>
    <w:p w14:paraId="2D21EBA1">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6.2.1 任何一方提出变更请求时，双方经协商一致后可进行变更。</w:t>
      </w:r>
    </w:p>
    <w:p w14:paraId="615B4831">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61477948">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42F4D613">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6.2.4合同签订后，遇有与工程相关的法律法规、标准颁布或修订的，双方应遵照执行。由此引起监理与相关服务的范围、时间、酬金变化的，双方应通过协商进行相应调整。</w:t>
      </w:r>
    </w:p>
    <w:p w14:paraId="64B22802">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6.2.5 因非监理人原因造成工程概算投资额或建筑安装工程费增加时，正常工作酬金应作相应调整。调整方法在专用条件中约定。</w:t>
      </w:r>
    </w:p>
    <w:p w14:paraId="434128DB">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6.2.6 因工程规模、监理范围的变化导致监理人的正常工作量减少时，正常工作酬金应作相应调整。调整方法在专用条件中约定。</w:t>
      </w:r>
    </w:p>
    <w:p w14:paraId="523D5F94">
      <w:pPr>
        <w:snapToGrid w:val="0"/>
        <w:spacing w:line="360" w:lineRule="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 xml:space="preserve">  6.3 暂停与</w:t>
      </w:r>
      <w:r>
        <w:rPr>
          <w:rFonts w:hint="eastAsia" w:ascii="宋体" w:hAnsi="宋体" w:eastAsia="宋体" w:cs="宋体"/>
          <w:bCs/>
          <w:color w:val="auto"/>
          <w:sz w:val="21"/>
          <w:szCs w:val="21"/>
          <w:highlight w:val="none"/>
        </w:rPr>
        <w:t>解除</w:t>
      </w:r>
    </w:p>
    <w:p w14:paraId="56218924">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除双方协商一致可以解除本合同外，当一方无正当理由未履行本合同约定的义务时，另一方可以根据本合同约定暂停履行本合同直至解除本合同。</w:t>
      </w:r>
    </w:p>
    <w:p w14:paraId="5AFB6B70">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65F6CB9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因解除本合同或解除监理人的部分义务导致监理人遭受的损失，除依法可以免除责任的情况外，应由委托人予以补偿，补偿金额由双方协商确定。</w:t>
      </w:r>
    </w:p>
    <w:p w14:paraId="0FD4E3A4">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解除本合同的协议必须采取书面形式，协议未达成之前，本合同仍然有效。</w:t>
      </w:r>
    </w:p>
    <w:p w14:paraId="6197A51F">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6D9660C9">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452FE5B3">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37117CCD">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6425DA5C">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6.3.5 因不可抗力致使本合同部分或全部不能履行时，一方应立即通知另一方，可暂停或解除本合同。</w:t>
      </w:r>
    </w:p>
    <w:p w14:paraId="756BB77F">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6.3.6 本合同解除后，本合同约定的有关结算、清理、争议解决方式的条件仍然有效。</w:t>
      </w:r>
    </w:p>
    <w:p w14:paraId="1716631F">
      <w:pPr>
        <w:snapToGrid w:val="0"/>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 xml:space="preserve">6.4 </w:t>
      </w:r>
      <w:r>
        <w:rPr>
          <w:rFonts w:hint="eastAsia" w:ascii="宋体" w:hAnsi="宋体" w:eastAsia="宋体" w:cs="宋体"/>
          <w:bCs/>
          <w:color w:val="auto"/>
          <w:sz w:val="21"/>
          <w:szCs w:val="21"/>
          <w:highlight w:val="none"/>
        </w:rPr>
        <w:t>终止</w:t>
      </w:r>
    </w:p>
    <w:p w14:paraId="522D5663">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以下条件全部满足时，本合同即告终止：</w:t>
      </w:r>
    </w:p>
    <w:p w14:paraId="7ACBE989">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（1）监理人完成本合同约定的全部工作；</w:t>
      </w:r>
    </w:p>
    <w:p w14:paraId="5C4279D6">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（2）委托人与监理人结清并支付全部酬金。</w:t>
      </w:r>
    </w:p>
    <w:p w14:paraId="38E7DB0B">
      <w:pPr>
        <w:snapToGrid w:val="0"/>
        <w:spacing w:line="360" w:lineRule="auto"/>
        <w:ind w:firstLine="42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 争议解决</w:t>
      </w:r>
    </w:p>
    <w:p w14:paraId="5011354F">
      <w:pPr>
        <w:snapToGrid w:val="0"/>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7.1</w:t>
      </w:r>
      <w:r>
        <w:rPr>
          <w:rFonts w:hint="eastAsia" w:ascii="宋体" w:hAnsi="宋体" w:eastAsia="宋体" w:cs="宋体"/>
          <w:bCs/>
          <w:color w:val="auto"/>
          <w:sz w:val="21"/>
          <w:szCs w:val="21"/>
          <w:highlight w:val="none"/>
        </w:rPr>
        <w:t>协商</w:t>
      </w:r>
    </w:p>
    <w:p w14:paraId="3E581717">
      <w:pPr>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双方应本着诚信原则协商解决彼此间的争议。</w:t>
      </w:r>
    </w:p>
    <w:p w14:paraId="4AA7F668">
      <w:pPr>
        <w:snapToGrid w:val="0"/>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7.2</w:t>
      </w:r>
      <w:r>
        <w:rPr>
          <w:rFonts w:hint="eastAsia" w:ascii="宋体" w:hAnsi="宋体" w:eastAsia="宋体" w:cs="宋体"/>
          <w:bCs/>
          <w:color w:val="auto"/>
          <w:sz w:val="21"/>
          <w:szCs w:val="21"/>
          <w:highlight w:val="none"/>
        </w:rPr>
        <w:t>调解</w:t>
      </w:r>
    </w:p>
    <w:p w14:paraId="50B95C9A">
      <w:pPr>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如果双方不能在14天内或双方商定的其他时间内解决本合同争议，可以将其提交给专用条件约定的或事后达成协议的调解人进行调解。</w:t>
      </w:r>
    </w:p>
    <w:p w14:paraId="6A09E479">
      <w:pPr>
        <w:snapToGrid w:val="0"/>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7.3</w:t>
      </w:r>
      <w:r>
        <w:rPr>
          <w:rFonts w:hint="eastAsia" w:ascii="宋体" w:hAnsi="宋体" w:eastAsia="宋体" w:cs="宋体"/>
          <w:bCs/>
          <w:color w:val="auto"/>
          <w:sz w:val="21"/>
          <w:szCs w:val="21"/>
          <w:highlight w:val="none"/>
        </w:rPr>
        <w:t>仲裁或诉讼</w:t>
      </w:r>
    </w:p>
    <w:p w14:paraId="3426087E">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双方均有权不经调解直接向专用条件约定的仲裁机构申请仲裁或向有管辖权的人民法院提起诉讼。</w:t>
      </w:r>
    </w:p>
    <w:p w14:paraId="7F6109C4">
      <w:pPr>
        <w:snapToGrid w:val="0"/>
        <w:spacing w:line="360" w:lineRule="auto"/>
        <w:ind w:firstLine="42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8. 其他</w:t>
      </w:r>
    </w:p>
    <w:p w14:paraId="2E3A84D1">
      <w:pPr>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 xml:space="preserve">8.1 </w:t>
      </w:r>
      <w:r>
        <w:rPr>
          <w:rFonts w:hint="eastAsia" w:ascii="宋体" w:hAnsi="宋体" w:eastAsia="宋体" w:cs="宋体"/>
          <w:bCs/>
          <w:color w:val="auto"/>
          <w:sz w:val="21"/>
          <w:szCs w:val="21"/>
          <w:highlight w:val="none"/>
        </w:rPr>
        <w:t>外出考察费用</w:t>
      </w:r>
    </w:p>
    <w:p w14:paraId="39F708A2">
      <w:pPr>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经委托人同意，监理人员外出考察发生的费用由委托人审核后支付。</w:t>
      </w:r>
    </w:p>
    <w:p w14:paraId="1147A968">
      <w:pPr>
        <w:snapToGrid w:val="0"/>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 xml:space="preserve">8.2 </w:t>
      </w:r>
      <w:r>
        <w:rPr>
          <w:rFonts w:hint="eastAsia" w:ascii="宋体" w:hAnsi="宋体" w:eastAsia="宋体" w:cs="宋体"/>
          <w:bCs/>
          <w:color w:val="auto"/>
          <w:sz w:val="21"/>
          <w:szCs w:val="21"/>
          <w:highlight w:val="none"/>
        </w:rPr>
        <w:t>检测费用</w:t>
      </w:r>
    </w:p>
    <w:p w14:paraId="10CD83C7">
      <w:pPr>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委托人要求监理人进行的材料和设备检测所发生的费用，由委托人支付，支付时间在专用条件中约定。</w:t>
      </w:r>
    </w:p>
    <w:p w14:paraId="7A967D7B">
      <w:pPr>
        <w:snapToGrid w:val="0"/>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 xml:space="preserve">8.3 </w:t>
      </w:r>
      <w:r>
        <w:rPr>
          <w:rFonts w:hint="eastAsia" w:ascii="宋体" w:hAnsi="宋体" w:eastAsia="宋体" w:cs="宋体"/>
          <w:bCs/>
          <w:color w:val="auto"/>
          <w:sz w:val="21"/>
          <w:szCs w:val="21"/>
          <w:highlight w:val="none"/>
        </w:rPr>
        <w:t>咨询费用</w:t>
      </w:r>
    </w:p>
    <w:p w14:paraId="7F1F3116">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经委托人同意，根据工程需要由监理人组织的相关咨询论证会以及聘请相关专家等发生的费用由委托人支付，支付时间在专用条件中约定。</w:t>
      </w:r>
    </w:p>
    <w:p w14:paraId="4F5C0BE2">
      <w:pPr>
        <w:snapToGrid w:val="0"/>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 xml:space="preserve">8.4 </w:t>
      </w:r>
      <w:r>
        <w:rPr>
          <w:rFonts w:hint="eastAsia" w:ascii="宋体" w:hAnsi="宋体" w:eastAsia="宋体" w:cs="宋体"/>
          <w:bCs/>
          <w:color w:val="auto"/>
          <w:sz w:val="21"/>
          <w:szCs w:val="21"/>
          <w:highlight w:val="none"/>
        </w:rPr>
        <w:t>奖励</w:t>
      </w:r>
    </w:p>
    <w:p w14:paraId="433EDF2C">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4CF704CC">
      <w:pPr>
        <w:snapToGrid w:val="0"/>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 xml:space="preserve">8.5 </w:t>
      </w:r>
      <w:r>
        <w:rPr>
          <w:rFonts w:hint="eastAsia" w:ascii="宋体" w:hAnsi="宋体" w:eastAsia="宋体" w:cs="宋体"/>
          <w:bCs/>
          <w:color w:val="auto"/>
          <w:sz w:val="21"/>
          <w:szCs w:val="21"/>
          <w:highlight w:val="none"/>
        </w:rPr>
        <w:t>守法诚信</w:t>
      </w:r>
    </w:p>
    <w:p w14:paraId="46DF391E">
      <w:pPr>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监理人及其工作人员不得从与实施工程有关的第三方处获得任何经济利益。</w:t>
      </w:r>
    </w:p>
    <w:p w14:paraId="7316D394">
      <w:pPr>
        <w:snapToGrid w:val="0"/>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 xml:space="preserve">8.6 </w:t>
      </w:r>
      <w:r>
        <w:rPr>
          <w:rFonts w:hint="eastAsia" w:ascii="宋体" w:hAnsi="宋体" w:eastAsia="宋体" w:cs="宋体"/>
          <w:bCs/>
          <w:color w:val="auto"/>
          <w:sz w:val="21"/>
          <w:szCs w:val="21"/>
          <w:highlight w:val="none"/>
        </w:rPr>
        <w:t>保密</w:t>
      </w:r>
    </w:p>
    <w:p w14:paraId="2F40356E">
      <w:pPr>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双方不得泄露对方申明的保密资料，亦不得泄露与实施工程有关的第三方所提供的保密资料，保密事项在专用条件中约定。</w:t>
      </w:r>
    </w:p>
    <w:p w14:paraId="425774AB">
      <w:pPr>
        <w:snapToGrid w:val="0"/>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 xml:space="preserve">8.7 </w:t>
      </w:r>
      <w:r>
        <w:rPr>
          <w:rFonts w:hint="eastAsia" w:ascii="宋体" w:hAnsi="宋体" w:eastAsia="宋体" w:cs="宋体"/>
          <w:bCs/>
          <w:color w:val="auto"/>
          <w:sz w:val="21"/>
          <w:szCs w:val="21"/>
          <w:highlight w:val="none"/>
        </w:rPr>
        <w:t>通知</w:t>
      </w:r>
    </w:p>
    <w:p w14:paraId="49B17616">
      <w:pPr>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本合同涉及的通知均应当采用书面形式，并在送达对方时生效，收件人应书面签收。</w:t>
      </w:r>
    </w:p>
    <w:p w14:paraId="0953AB75">
      <w:pPr>
        <w:snapToGrid w:val="0"/>
        <w:spacing w:line="360" w:lineRule="auto"/>
        <w:ind w:left="210" w:leftChars="1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 xml:space="preserve">8.8 </w:t>
      </w:r>
      <w:r>
        <w:rPr>
          <w:rFonts w:hint="eastAsia" w:ascii="宋体" w:hAnsi="宋体" w:eastAsia="宋体" w:cs="宋体"/>
          <w:bCs/>
          <w:color w:val="auto"/>
          <w:sz w:val="21"/>
          <w:szCs w:val="21"/>
          <w:highlight w:val="none"/>
        </w:rPr>
        <w:t>著作权</w:t>
      </w:r>
    </w:p>
    <w:p w14:paraId="580B9CB0">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监理人对其编制的文件拥有著作权。</w:t>
      </w:r>
    </w:p>
    <w:p w14:paraId="09683C62">
      <w:pPr>
        <w:snapToGrid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37753398">
      <w:pPr>
        <w:rPr>
          <w:rFonts w:hint="eastAsia" w:ascii="楷体" w:hAnsi="楷体" w:eastAsia="楷体" w:cs="楷体"/>
          <w:b/>
          <w:bCs/>
          <w:color w:val="auto"/>
          <w:sz w:val="24"/>
          <w:szCs w:val="24"/>
          <w:highlight w:val="none"/>
        </w:rPr>
      </w:pPr>
      <w:r>
        <w:rPr>
          <w:rFonts w:hint="eastAsia" w:ascii="楷体" w:hAnsi="楷体" w:eastAsia="楷体" w:cs="楷体"/>
          <w:b/>
          <w:bCs/>
          <w:color w:val="auto"/>
          <w:sz w:val="24"/>
          <w:szCs w:val="24"/>
          <w:highlight w:val="none"/>
        </w:rPr>
        <w:br w:type="page"/>
      </w:r>
    </w:p>
    <w:p w14:paraId="17C0CA69">
      <w:pPr>
        <w:pStyle w:val="4"/>
        <w:tabs>
          <w:tab w:val="right" w:leader="dot" w:pos="9297"/>
        </w:tabs>
        <w:spacing w:line="560" w:lineRule="exact"/>
        <w:ind w:left="0" w:leftChars="0" w:firstLine="0" w:firstLineChars="0"/>
        <w:jc w:val="center"/>
        <w:rPr>
          <w:rFonts w:hint="eastAsia" w:ascii="楷体" w:hAnsi="楷体" w:eastAsia="楷体" w:cs="楷体"/>
          <w:color w:val="auto"/>
          <w:sz w:val="24"/>
          <w:szCs w:val="24"/>
          <w:highlight w:val="none"/>
        </w:rPr>
      </w:pPr>
      <w:r>
        <w:rPr>
          <w:rFonts w:hint="eastAsia" w:ascii="楷体" w:hAnsi="楷体" w:eastAsia="楷体" w:cs="楷体"/>
          <w:b/>
          <w:bCs/>
          <w:color w:val="auto"/>
          <w:sz w:val="24"/>
          <w:szCs w:val="24"/>
          <w:highlight w:val="none"/>
        </w:rPr>
        <w:t xml:space="preserve">  </w:t>
      </w:r>
      <w:r>
        <w:rPr>
          <w:rFonts w:hint="eastAsia" w:ascii="宋体" w:hAnsi="宋体" w:eastAsia="宋体" w:cs="宋体"/>
          <w:b/>
          <w:bCs/>
          <w:color w:val="auto"/>
          <w:sz w:val="24"/>
          <w:szCs w:val="24"/>
          <w:highlight w:val="none"/>
          <w:lang w:val="en-US" w:eastAsia="zh-CN"/>
        </w:rPr>
        <w:t>第三部分  专用条件</w:t>
      </w:r>
    </w:p>
    <w:p w14:paraId="58160329">
      <w:pPr>
        <w:snapToGrid w:val="0"/>
        <w:spacing w:line="360" w:lineRule="auto"/>
        <w:ind w:firstLine="42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1.定义与解释</w:t>
      </w:r>
    </w:p>
    <w:p w14:paraId="1DC61EDD">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1.2解释</w:t>
      </w:r>
    </w:p>
    <w:p w14:paraId="6403EAB0">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1.2.1本合同文件除使用中文外，还可用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17CB367E">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1.2.2约定本合同文件的优先解释顺诹为：</w:t>
      </w:r>
      <w:r>
        <w:rPr>
          <w:rFonts w:hint="eastAsia" w:ascii="宋体" w:hAnsi="宋体" w:eastAsia="宋体" w:cs="宋体"/>
          <w:color w:val="auto"/>
          <w:sz w:val="21"/>
          <w:szCs w:val="21"/>
          <w:highlight w:val="none"/>
          <w:u w:val="single"/>
        </w:rPr>
        <w:t>同通用条件</w:t>
      </w:r>
      <w:r>
        <w:rPr>
          <w:rFonts w:hint="eastAsia" w:ascii="宋体" w:hAnsi="宋体" w:eastAsia="宋体" w:cs="宋体"/>
          <w:color w:val="auto"/>
          <w:sz w:val="21"/>
          <w:szCs w:val="21"/>
          <w:highlight w:val="none"/>
        </w:rPr>
        <w:t>。</w:t>
      </w:r>
    </w:p>
    <w:p w14:paraId="07E07C09">
      <w:pPr>
        <w:snapToGrid w:val="0"/>
        <w:spacing w:line="360" w:lineRule="auto"/>
        <w:ind w:firstLine="42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2.监理人义务</w:t>
      </w:r>
    </w:p>
    <w:p w14:paraId="47FD32AF">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2.1监理的范围和内容</w:t>
      </w:r>
    </w:p>
    <w:p w14:paraId="53490E9F">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2.1.1监理范围包括：</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789123FC">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2.1.2监理工作内容还包括：</w:t>
      </w:r>
    </w:p>
    <w:p w14:paraId="355012ED">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（1）技术及图纸</w:t>
      </w:r>
    </w:p>
    <w:p w14:paraId="51C768AD">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1）熟悉设计资料与施工合同文件；</w:t>
      </w:r>
    </w:p>
    <w:p w14:paraId="56F016E2">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2）协助委托人组织设计单位、承包人及有关单位在开工前对设计图纸的会审、技术交底工作；</w:t>
      </w:r>
    </w:p>
    <w:p w14:paraId="0AFB6D6E">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3）组织有关单位（包括设计单位，承包人等）进行技术交主底。对交底中澄清的问题做好记录，并整理成纪要报委托人备案；</w:t>
      </w:r>
    </w:p>
    <w:p w14:paraId="30BBEAE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4）审阅并签发设计图纸和设计文件，解释承包人对图纸提出的疑问；</w:t>
      </w:r>
    </w:p>
    <w:p w14:paraId="66A1FDFF">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 xml:space="preserve">5）参加由委托人主持的重大技术问题的讨论； </w:t>
      </w:r>
    </w:p>
    <w:p w14:paraId="70293F24">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6）对于工程实施过程中发生的设计变更，应从对工程质量、进度、投资等三方面进行评估，提出意见并报委托人决策；</w:t>
      </w:r>
    </w:p>
    <w:p w14:paraId="766ECC4C">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7）审查并批准承包人提交的</w:t>
      </w:r>
      <w:r>
        <w:rPr>
          <w:rFonts w:hint="eastAsia" w:ascii="宋体" w:hAnsi="宋体" w:eastAsia="宋体" w:cs="宋体"/>
          <w:color w:val="auto"/>
          <w:sz w:val="21"/>
          <w:szCs w:val="21"/>
          <w:highlight w:val="none"/>
          <w:u w:val="single"/>
          <w:lang w:eastAsia="zh-CN"/>
        </w:rPr>
        <w:t>监理大纲</w:t>
      </w:r>
      <w:r>
        <w:rPr>
          <w:rFonts w:hint="eastAsia" w:ascii="宋体" w:hAnsi="宋体" w:eastAsia="宋体" w:cs="宋体"/>
          <w:color w:val="auto"/>
          <w:sz w:val="21"/>
          <w:szCs w:val="21"/>
          <w:highlight w:val="none"/>
          <w:u w:val="single"/>
        </w:rPr>
        <w:t>，施工技术方案，技术计划，临建工程设计等；</w:t>
      </w:r>
    </w:p>
    <w:p w14:paraId="5D133742">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8）会同设计单位对有关工程图纸的变更做出解释和说明，发出图纸变更令，在现场协助设计方代表解决施工期间出现的设计、技术问题。</w:t>
      </w:r>
    </w:p>
    <w:p w14:paraId="3CCDA928">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（2）进度控制</w:t>
      </w:r>
    </w:p>
    <w:p w14:paraId="4FD98609">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1）督促委托人按合同规定落实必须提供的施工条件，组织向承包人移交施工场地；检查承包人的开工准备情况：按照合同规定及授权，发布工程开工令；</w:t>
      </w:r>
    </w:p>
    <w:p w14:paraId="25417128">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2）依据合同中确定的工程控制性进度计划，审查并批准承包人提交的施工总进度计划、资源配置，检查其实施情况，督促承包人实现合同工期目标；</w:t>
      </w:r>
    </w:p>
    <w:p w14:paraId="7DC0B0AB">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3）若发生由于承包人的原因使工期延误进应督促承包人提出补救措施，如属于委托人的原因引起工期延误，应向委托人提出报告，并提出补救措施的意见供委托人决策；</w:t>
      </w:r>
    </w:p>
    <w:p w14:paraId="1F4B41D7">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4）审查和批准承包人提出的施工方案和施工进度计划，负责控制进度，跟踪检查，记录计划的实施情况。当发生实际进度与计划进度有实质性偏差时，及时向承包人发出书面指示，向委托人提出“进度分析报告”；</w:t>
      </w:r>
    </w:p>
    <w:p w14:paraId="3258D53A">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5）主持监理合同授权范围内的有关协调工作，写出工程进度协调会议纪要提出监理对工程进度的意见；</w:t>
      </w:r>
    </w:p>
    <w:p w14:paraId="65BF88EA">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6）在收到承包人月进度报告后，7天内提出审查意见，并将审查意见及承包人的进度报告报委托人备案。</w:t>
      </w:r>
    </w:p>
    <w:p w14:paraId="645033FD">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（3）质量控制</w:t>
      </w:r>
    </w:p>
    <w:p w14:paraId="18373D9F">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1）审查并批准承包人提交的</w:t>
      </w:r>
      <w:r>
        <w:rPr>
          <w:rFonts w:hint="eastAsia" w:ascii="宋体" w:hAnsi="宋体" w:eastAsia="宋体" w:cs="宋体"/>
          <w:color w:val="auto"/>
          <w:sz w:val="21"/>
          <w:szCs w:val="21"/>
          <w:highlight w:val="none"/>
          <w:u w:val="single"/>
          <w:lang w:eastAsia="zh-CN"/>
        </w:rPr>
        <w:t>监理大纲</w:t>
      </w:r>
      <w:r>
        <w:rPr>
          <w:rFonts w:hint="eastAsia" w:ascii="宋体" w:hAnsi="宋体" w:eastAsia="宋体" w:cs="宋体"/>
          <w:color w:val="auto"/>
          <w:sz w:val="21"/>
          <w:szCs w:val="21"/>
          <w:highlight w:val="none"/>
          <w:u w:val="single"/>
        </w:rPr>
        <w:t>，并将审查意见报委托人备案；</w:t>
      </w:r>
    </w:p>
    <w:p w14:paraId="5C59E57A">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核查承包人关键技术工程、岗位进场人员的资质，包括技术水平、工作能力、工作态度等，核查承包人的施工机械设备的数量、质量、种类、能力及状况，对于符合合同规定要求的人员和设备，有权令其更换或添置；</w:t>
      </w:r>
    </w:p>
    <w:p w14:paraId="5F00813C">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3）审批承包人的技术规范及施工规程等质量标准文件；</w:t>
      </w:r>
    </w:p>
    <w:p w14:paraId="01E8764B">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4）审查承包人的质量控制体系和措施，检查质量文件落实情况。依据施工合同规定，对施工前的准备工作进行检查，对施工工序、资源投入进行监督。督促承包人严格执行合同中的技术规范，施工要求和图纸上的规定，确保质量满足合同要求；</w:t>
      </w:r>
    </w:p>
    <w:p w14:paraId="49268030">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5）审查、批准由承包人提交的质量检查要求和规定，依据合同与规范制定各类施工质量检查的补充规定，及时检查、抽查工程质量，特别是履盖的基础工程和隐蔽工程；对工程质量进行签证和评定，严格控制工程质量</w:t>
      </w:r>
      <w:r>
        <w:rPr>
          <w:rFonts w:hint="eastAsia" w:ascii="宋体" w:hAnsi="宋体" w:eastAsia="宋体" w:cs="宋体"/>
          <w:color w:val="auto"/>
          <w:sz w:val="21"/>
          <w:szCs w:val="21"/>
          <w:highlight w:val="none"/>
        </w:rPr>
        <w:t>。主要内容包括：</w:t>
      </w:r>
    </w:p>
    <w:p w14:paraId="3DAC4E9F">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A．审批承包人在施工过程中各工序的质量自检报告，按施工合同的要求进行质量控制和评定；</w:t>
      </w:r>
    </w:p>
    <w:p w14:paraId="10BCFF01">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B．对承包人试验室的各种试验仪器及试验程序、成果进行全面检查；</w:t>
      </w:r>
    </w:p>
    <w:p w14:paraId="5A8A700A">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C．承包人未按设计图纸、技术规范、操作规程进行施工时，依据合同应责令其停工、返工，并报告委托人；</w:t>
      </w:r>
    </w:p>
    <w:p w14:paraId="6472B44D">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D．对未签证或验收不合格的工程，通知承包人限期返工，重新验收合格，方可进入下一道工序，或交付使用，并及时报告委托人；</w:t>
      </w:r>
    </w:p>
    <w:p w14:paraId="35E1A3F5">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E．审查用于永久工程的各种工程材料，、构件的合格证，材质化验单，严禁使用不合格产品，并监督期退场；</w:t>
      </w:r>
    </w:p>
    <w:p w14:paraId="7222A374">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F．制定现场工程监理工作制度，在施工现场对工程质量、安全、施工活动等进行跟班检查，关键工序实行旁站监理，并做好现场旁站记录和监理日记，填写大事记。定期召开监理例会，及时向委托人通报监理情况及工程的有关事宜；</w:t>
      </w:r>
    </w:p>
    <w:p w14:paraId="52653FEB">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G．监督检查承包人的施工测量工作；</w:t>
      </w:r>
    </w:p>
    <w:p w14:paraId="466A72E6">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H．对已完成的施工工序，提出明确的评价意见。重大质量问题的处理方案报委托人确认后执行；</w:t>
      </w:r>
    </w:p>
    <w:p w14:paraId="4E9DFFFA">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I．根据国家有关验收规程和合同规定，组织隐蔽工程验收和各工序、分项、分部工程及各单项工程验收。审查承包人提交的阶段验收和竣工验收有关资料，参加阶段验收和竣工验收，审查《工程竣工程报告书》，提出整改意见，编写《工程质量评估报告》及整理监理资料；依据合同签发竣工证书，颁发保修合格证书；参与工程移交，同时做好各种资料的收集、整理、归档工作，协助委托人办理竣工验收及备案手续；</w:t>
      </w:r>
    </w:p>
    <w:p w14:paraId="0913B6D7">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J．对进场材料、构配件和设备的规格、品牌、数量、进场时间及质量负有监督责任，严格审核其进场报验资料。具体包括如下工作：</w:t>
      </w:r>
    </w:p>
    <w:p w14:paraId="12560BFC">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K．结合施工图纸、设计变更及招投标文件等资料，严格核对进场报验资料所列的规格、品牌、数量等，出现实际进场材料与报验清单不一致或报验清单与施工图纸、设计变更及招投标文件等相关资料要求不一致的情况，应及时向委托人汇报，并提出处理意见。</w:t>
      </w:r>
    </w:p>
    <w:p w14:paraId="3EE347F5">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M．审核用于工程的材料、构配件和设备的出场合格证及检验试验报告等质量证明文件。按照有关工程质量监督管理规定，对进场的材料、构配件和设备见证取样，并责成承包人按规定送有资质的实验室进行检验。</w:t>
      </w:r>
    </w:p>
    <w:p w14:paraId="6386841A">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N．对验收不合格的工程材料、构配件和设备，监理人员应拒绝签认，并签发不合格通知单，书面通知承包单位或委托人，限期将不合格的工程材料、构配件及设备撤出现场。严防不合格的材料、构件和设备用于工程。</w:t>
      </w:r>
    </w:p>
    <w:p w14:paraId="515AAA39">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6）监督、检查承包人安全施工、文明施工。</w:t>
      </w:r>
    </w:p>
    <w:p w14:paraId="5C1231A2">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（4）投资控制</w:t>
      </w:r>
    </w:p>
    <w:p w14:paraId="285A1F96">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审查承包人提交的计量申请，签发工程计量认证书。审查承包人提交的支付申请，按施工合同规定，签发支付证书，工程结束时，核实最终工程量，审核承包人的施工过程工程结算及最终竣工结算，报委托人批准；</w:t>
      </w:r>
    </w:p>
    <w:p w14:paraId="077003AE">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2）按照合同规定及委托人授权，确定工程变更项目，分析并与各方协商确定变更的工程与费用，发布变更指令；</w:t>
      </w:r>
    </w:p>
    <w:p w14:paraId="757A19B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3）工程承包合同约定的工程价格范围内，工程款支付的审核和签认，未经总监理工程师签字确认，委托人不支付工程款；</w:t>
      </w:r>
    </w:p>
    <w:p w14:paraId="4CC618CE">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4）办理委托人决定更改、增减工程内容、数量事宜，审理承包人申报的有关工程更改的请求，提出处理意见，并报委托人签认；所有变更必须经委托人书面同意后方能实施。</w:t>
      </w:r>
    </w:p>
    <w:p w14:paraId="42A4F5C9">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（5）安全生产管理监督</w:t>
      </w:r>
    </w:p>
    <w:p w14:paraId="64D1CBEB">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1）审查施工单位安全生产管理体系；</w:t>
      </w:r>
    </w:p>
    <w:p w14:paraId="202A1241">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2）审查施工单位安全生产领导组织机构；</w:t>
      </w:r>
    </w:p>
    <w:p w14:paraId="7DA29F3F">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3）审查施工单位安全生产管理措施；</w:t>
      </w:r>
    </w:p>
    <w:p w14:paraId="65744FAD">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4）检查安全生产管理措施及各种规章制度的执行和落实情况；</w:t>
      </w:r>
    </w:p>
    <w:p w14:paraId="301CA75A">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5）组织有关单位定期进行安全联合检查；</w:t>
      </w:r>
    </w:p>
    <w:p w14:paraId="66D84096">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6）发现安全事故或安全隐患问题及时会同有关各方进行解决；</w:t>
      </w:r>
    </w:p>
    <w:p w14:paraId="5C76782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7）协助处理工程出现的质量事故和安全事故，参与重大质量、安全故故分析和处理。对突然发生的事故，可决定作出紧急措施，并及时向委托人报告；</w:t>
      </w:r>
    </w:p>
    <w:p w14:paraId="33EEAC81">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8）征得委托人同意，监理人下达工程暂停令，但应当事先向委托人报告。如在紧急情况下未能事先报告时，则应在24小时内向委托人作出书面报告。</w:t>
      </w:r>
    </w:p>
    <w:p w14:paraId="5F980405">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（6）合同管理</w:t>
      </w:r>
    </w:p>
    <w:p w14:paraId="5BF43E80">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1）协助委托人核实承包人的资质及签订施工总承包合同和设备安装工程等承包合同；</w:t>
      </w:r>
    </w:p>
    <w:p w14:paraId="1454C33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lang w:val="en-US" w:eastAsia="zh-CN"/>
        </w:rPr>
        <w:t>2</w:t>
      </w:r>
      <w:r>
        <w:rPr>
          <w:rFonts w:hint="eastAsia" w:ascii="宋体" w:hAnsi="宋体" w:eastAsia="宋体" w:cs="宋体"/>
          <w:color w:val="auto"/>
          <w:sz w:val="21"/>
          <w:szCs w:val="21"/>
          <w:highlight w:val="none"/>
          <w:u w:val="single"/>
        </w:rPr>
        <w:t>）分析、研究评价承包人可能提出的索赔要求，参与研究并协助做出对索赔的处理意见和决定；</w:t>
      </w:r>
    </w:p>
    <w:p w14:paraId="0578AC21">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lang w:val="en-US" w:eastAsia="zh-CN"/>
        </w:rPr>
        <w:t>3</w:t>
      </w:r>
      <w:r>
        <w:rPr>
          <w:rFonts w:hint="eastAsia" w:ascii="宋体" w:hAnsi="宋体" w:eastAsia="宋体" w:cs="宋体"/>
          <w:color w:val="auto"/>
          <w:sz w:val="21"/>
          <w:szCs w:val="21"/>
          <w:highlight w:val="none"/>
          <w:u w:val="single"/>
        </w:rPr>
        <w:t>）参与工程合同争议、仲裁等有关问题的处理，提出必要的证据资料，意见和分析报告。</w:t>
      </w:r>
    </w:p>
    <w:p w14:paraId="0F751AFA">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（7）信息管理及协调工作</w:t>
      </w:r>
    </w:p>
    <w:p w14:paraId="62D2755D">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1）核实并掌握工地的各种情况，详细记录工地与工程有关的所有信息，定期向委托人报告工地情况，重大或重要事项随时向委托人报告；</w:t>
      </w:r>
    </w:p>
    <w:p w14:paraId="5D9B04D2">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2）按时提交旬报、月报、年报，包括进度分析、质量控制，投资分析等报告，以及各类专题报告，年终总结和最终监理报告；</w:t>
      </w:r>
    </w:p>
    <w:p w14:paraId="45F22002">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3）及时向委托人抄送监理单位和承包人之间的来往方函；</w:t>
      </w:r>
    </w:p>
    <w:p w14:paraId="0E7302D6">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4）做好有关工程资料和文件的汇总管理工作，随时按收委托人及政府有关质检部门的督促检查；</w:t>
      </w:r>
    </w:p>
    <w:p w14:paraId="65B02CF8">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5）督促承包人提交完整的工程竣工验收资料；</w:t>
      </w:r>
    </w:p>
    <w:p w14:paraId="38EB46EE">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6）协调参建单位之间的关系，对工程设计、工程承包合同出现的纠纷和索赔事项提出建议或意见；</w:t>
      </w:r>
    </w:p>
    <w:p w14:paraId="0A4CB6E6">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2.2监理与相关服务依据</w:t>
      </w:r>
    </w:p>
    <w:p w14:paraId="6D22AF71">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2.2.1监理依据包括但不限于：</w:t>
      </w:r>
    </w:p>
    <w:p w14:paraId="42E0CAE1">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a国家工程建设的法律、法规、条款及有关政策规定，主管部门批准的建设计划、规划、设计文件。</w:t>
      </w:r>
    </w:p>
    <w:p w14:paraId="225A5FB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b委托人与总承包单位签订的合同或协议。</w:t>
      </w:r>
    </w:p>
    <w:p w14:paraId="55627B3E">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c经批准的施工图纸及说明，经图纸会审确定的修改设计通知书。</w:t>
      </w:r>
    </w:p>
    <w:p w14:paraId="2643239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d国家和地方现行的建筑工程质量评定标准、设计及施工验收规范。</w:t>
      </w:r>
    </w:p>
    <w:p w14:paraId="414EBA42">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e当地现场预算定额、取费标准和有关建设管理办法。</w:t>
      </w:r>
    </w:p>
    <w:p w14:paraId="603D434C">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f当地建设行政主管部门的有关法规和通知等。</w:t>
      </w:r>
    </w:p>
    <w:p w14:paraId="0D28CC9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g委托人发出的指令及与本工程有关的会议纪要和文件。</w:t>
      </w:r>
    </w:p>
    <w:p w14:paraId="26B0622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h国家现行的勘察、设计规范和规程、《建筑工程施工及验收规范》、《工程质量检验评定标准》等有关标准。</w:t>
      </w:r>
    </w:p>
    <w:p w14:paraId="4AE04C10">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i国家及地方政府相关规定。</w:t>
      </w:r>
    </w:p>
    <w:p w14:paraId="583ADC24">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j该工程的施工设计总承包招投标文件。</w:t>
      </w:r>
    </w:p>
    <w:p w14:paraId="4A501A45">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k GB/T19001-2000质量保证标准。</w:t>
      </w:r>
    </w:p>
    <w:p w14:paraId="0FD9695B">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2.3项目监理机构和人员</w:t>
      </w:r>
    </w:p>
    <w:p w14:paraId="28C33180">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2.3.1监理人应组建满足工作需要的项目监理机构，根据项目要求，应针对分期工程配备总监代表，每个分期项目配备不少于一个总监代表；配备必要的检测设备。项目监理机构的主要人员应具有相应的资格条件。</w:t>
      </w:r>
    </w:p>
    <w:p w14:paraId="4BB788D0">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2.3.4更换监理人员的其他情形：</w:t>
      </w:r>
      <w:r>
        <w:rPr>
          <w:rFonts w:hint="eastAsia" w:ascii="宋体" w:hAnsi="宋体" w:eastAsia="宋体" w:cs="宋体"/>
          <w:color w:val="auto"/>
          <w:sz w:val="21"/>
          <w:szCs w:val="21"/>
          <w:highlight w:val="none"/>
          <w:u w:val="single"/>
        </w:rPr>
        <w:t>经委托人日常考察不合格或不能满足监理工作要求的</w:t>
      </w:r>
      <w:r>
        <w:rPr>
          <w:rFonts w:hint="eastAsia" w:ascii="宋体" w:hAnsi="宋体" w:eastAsia="宋体" w:cs="宋体"/>
          <w:color w:val="auto"/>
          <w:sz w:val="21"/>
          <w:szCs w:val="21"/>
          <w:highlight w:val="none"/>
        </w:rPr>
        <w:t>。</w:t>
      </w:r>
    </w:p>
    <w:p w14:paraId="70B75F8C">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2.4.4监理人有权要求承包人调换其人员的限制条件：</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207F67F6">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2.5提交报告</w:t>
      </w:r>
    </w:p>
    <w:p w14:paraId="783EBECC">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监理人应提交报告的种类、时间和份数：</w:t>
      </w:r>
      <w:r>
        <w:rPr>
          <w:rFonts w:hint="eastAsia" w:ascii="宋体" w:hAnsi="宋体" w:eastAsia="宋体" w:cs="宋体"/>
          <w:color w:val="auto"/>
          <w:sz w:val="21"/>
          <w:szCs w:val="21"/>
          <w:highlight w:val="none"/>
          <w:u w:val="single"/>
        </w:rPr>
        <w:t>监理单位进场前，提供符合甲方要求的监理规划大纲，监理过程中应定期报送监理月报和阶段性工作总结、重大事件报告（报送内容和方式另定）</w:t>
      </w:r>
      <w:r>
        <w:rPr>
          <w:rFonts w:hint="eastAsia" w:ascii="宋体" w:hAnsi="宋体" w:eastAsia="宋体" w:cs="宋体"/>
          <w:color w:val="auto"/>
          <w:sz w:val="21"/>
          <w:szCs w:val="21"/>
          <w:highlight w:val="none"/>
        </w:rPr>
        <w:t>。</w:t>
      </w:r>
    </w:p>
    <w:p w14:paraId="71E9980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监理规划：</w:t>
      </w:r>
      <w:r>
        <w:rPr>
          <w:rFonts w:hint="eastAsia" w:ascii="宋体" w:hAnsi="宋体" w:eastAsia="宋体" w:cs="宋体"/>
          <w:color w:val="auto"/>
          <w:sz w:val="21"/>
          <w:szCs w:val="21"/>
          <w:highlight w:val="none"/>
          <w:u w:val="single"/>
        </w:rPr>
        <w:t>合同签订后7日内，提交3份</w:t>
      </w:r>
      <w:r>
        <w:rPr>
          <w:rFonts w:hint="eastAsia" w:ascii="宋体" w:hAnsi="宋体" w:eastAsia="宋体" w:cs="宋体"/>
          <w:color w:val="auto"/>
          <w:sz w:val="21"/>
          <w:szCs w:val="21"/>
          <w:highlight w:val="none"/>
        </w:rPr>
        <w:t>；</w:t>
      </w:r>
    </w:p>
    <w:p w14:paraId="5922AC3F">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监理月报：</w:t>
      </w:r>
      <w:r>
        <w:rPr>
          <w:rFonts w:hint="eastAsia" w:ascii="宋体" w:hAnsi="宋体" w:eastAsia="宋体" w:cs="宋体"/>
          <w:color w:val="auto"/>
          <w:sz w:val="21"/>
          <w:szCs w:val="21"/>
          <w:highlight w:val="none"/>
          <w:u w:val="single"/>
        </w:rPr>
        <w:t>施工月最后一个工作日，提交3份</w:t>
      </w:r>
      <w:r>
        <w:rPr>
          <w:rFonts w:hint="eastAsia" w:ascii="宋体" w:hAnsi="宋体" w:eastAsia="宋体" w:cs="宋体"/>
          <w:color w:val="auto"/>
          <w:sz w:val="21"/>
          <w:szCs w:val="21"/>
          <w:highlight w:val="none"/>
        </w:rPr>
        <w:t>；</w:t>
      </w:r>
    </w:p>
    <w:p w14:paraId="62A5F960">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监理会议纪要（经参会各方会签）：</w:t>
      </w:r>
      <w:r>
        <w:rPr>
          <w:rFonts w:hint="eastAsia" w:ascii="宋体" w:hAnsi="宋体" w:eastAsia="宋体" w:cs="宋体"/>
          <w:color w:val="auto"/>
          <w:sz w:val="21"/>
          <w:szCs w:val="21"/>
          <w:highlight w:val="none"/>
          <w:u w:val="single"/>
        </w:rPr>
        <w:t>会议结束后第二个工作日，提交6份</w:t>
      </w:r>
      <w:r>
        <w:rPr>
          <w:rFonts w:hint="eastAsia" w:ascii="宋体" w:hAnsi="宋体" w:eastAsia="宋体" w:cs="宋体"/>
          <w:color w:val="auto"/>
          <w:sz w:val="21"/>
          <w:szCs w:val="21"/>
          <w:highlight w:val="none"/>
        </w:rPr>
        <w:t>；</w:t>
      </w:r>
    </w:p>
    <w:p w14:paraId="0DE5033A">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其余各项报告种类、时间和份数由双方根据具体情况商定。</w:t>
      </w:r>
    </w:p>
    <w:p w14:paraId="35A12E47">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2.7使用委托人的财产</w:t>
      </w:r>
    </w:p>
    <w:p w14:paraId="767C1997">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附录B中由委托人无偿提供的房屋、设备的所有权属于：</w:t>
      </w:r>
      <w:r>
        <w:rPr>
          <w:rFonts w:hint="eastAsia" w:ascii="宋体" w:hAnsi="宋体" w:eastAsia="宋体" w:cs="宋体"/>
          <w:color w:val="auto"/>
          <w:sz w:val="21"/>
          <w:szCs w:val="21"/>
          <w:highlight w:val="none"/>
          <w:u w:val="single"/>
        </w:rPr>
        <w:t>委托人或委托人指定单位</w:t>
      </w:r>
      <w:r>
        <w:rPr>
          <w:rFonts w:hint="eastAsia" w:ascii="宋体" w:hAnsi="宋体" w:eastAsia="宋体" w:cs="宋体"/>
          <w:color w:val="auto"/>
          <w:sz w:val="21"/>
          <w:szCs w:val="21"/>
          <w:highlight w:val="none"/>
        </w:rPr>
        <w:t>。</w:t>
      </w:r>
    </w:p>
    <w:p w14:paraId="3EF0BDF4">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监理人应在本合同终止后15天内移交委托人无偿提供的房屋、设备、移交的时间和方式为：现场清点、移交</w:t>
      </w:r>
      <w:r>
        <w:rPr>
          <w:rFonts w:hint="eastAsia" w:ascii="宋体" w:hAnsi="宋体" w:eastAsia="宋体" w:cs="宋体"/>
          <w:color w:val="auto"/>
          <w:sz w:val="21"/>
          <w:szCs w:val="21"/>
          <w:highlight w:val="none"/>
        </w:rPr>
        <w:t xml:space="preserve"> 。</w:t>
      </w:r>
    </w:p>
    <w:p w14:paraId="6CA30BBD">
      <w:pPr>
        <w:snapToGrid w:val="0"/>
        <w:spacing w:line="360" w:lineRule="auto"/>
        <w:ind w:firstLine="42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3．委托人义务</w:t>
      </w:r>
    </w:p>
    <w:p w14:paraId="22F1F57C">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3.4委托人代表</w:t>
      </w:r>
    </w:p>
    <w:p w14:paraId="25796AEC">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委托人代表为：</w:t>
      </w:r>
      <w:r>
        <w:rPr>
          <w:rFonts w:hint="eastAsia" w:ascii="宋体" w:hAnsi="宋体" w:eastAsia="宋体" w:cs="宋体"/>
          <w:color w:val="auto"/>
          <w:sz w:val="21"/>
          <w:szCs w:val="21"/>
          <w:highlight w:val="none"/>
          <w:u w:val="single"/>
        </w:rPr>
        <w:t xml:space="preserve">      </w:t>
      </w:r>
    </w:p>
    <w:p w14:paraId="7D9D942D">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3.5答复</w:t>
      </w:r>
    </w:p>
    <w:p w14:paraId="38637D90">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委托人同意在5个工作日内，对监理人书面提交并要求做出决定的事宜给予书面答复</w:t>
      </w:r>
      <w:r>
        <w:rPr>
          <w:rFonts w:hint="eastAsia" w:ascii="宋体" w:hAnsi="宋体" w:eastAsia="宋体" w:cs="宋体"/>
          <w:color w:val="auto"/>
          <w:sz w:val="21"/>
          <w:szCs w:val="21"/>
          <w:highlight w:val="none"/>
        </w:rPr>
        <w:t>。</w:t>
      </w:r>
    </w:p>
    <w:p w14:paraId="6FB19EE2">
      <w:pPr>
        <w:snapToGrid w:val="0"/>
        <w:spacing w:line="360" w:lineRule="auto"/>
        <w:ind w:firstLine="42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4．违约责任</w:t>
      </w:r>
    </w:p>
    <w:p w14:paraId="77CB252E">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4.1监理人的违约责任</w:t>
      </w:r>
    </w:p>
    <w:p w14:paraId="56D8BEFA">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4.1.1监理人赔偿金额按下列方法确定：</w:t>
      </w:r>
    </w:p>
    <w:p w14:paraId="44CD4D14">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（1）赔偿金=直接经济损失×20%</w:t>
      </w:r>
    </w:p>
    <w:p w14:paraId="67516106">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（2）工程造价及工程质量的违约责任</w:t>
      </w:r>
    </w:p>
    <w:p w14:paraId="7EAF2BDF">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①本工程质量应达到合格。单位工程工程质量验收不合格，监理单位除须承担相关法律法规规定的监理责任外，仍须接受委托人从应付监理酬金中扣减对应单位工程监理酬金作为违约金</w:t>
      </w:r>
      <w:r>
        <w:rPr>
          <w:rFonts w:hint="eastAsia" w:ascii="宋体" w:hAnsi="宋体" w:eastAsia="宋体" w:cs="宋体"/>
          <w:color w:val="auto"/>
          <w:sz w:val="21"/>
          <w:szCs w:val="21"/>
          <w:highlight w:val="none"/>
        </w:rPr>
        <w:t>。</w:t>
      </w:r>
    </w:p>
    <w:p w14:paraId="287B5954">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4.2委托人的违约责任</w:t>
      </w:r>
    </w:p>
    <w:p w14:paraId="0A15C262">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3"/>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4.2.1委托人逾期付款利息按下列方法确定：</w:t>
      </w:r>
      <w:r>
        <w:rPr>
          <w:rFonts w:hint="eastAsia" w:ascii="宋体" w:hAnsi="宋体" w:eastAsia="宋体" w:cs="宋体"/>
          <w:color w:val="auto"/>
          <w:sz w:val="21"/>
          <w:szCs w:val="21"/>
          <w:highlight w:val="none"/>
          <w:u w:val="single"/>
        </w:rPr>
        <w:t>无</w:t>
      </w:r>
    </w:p>
    <w:p w14:paraId="1437F597">
      <w:pPr>
        <w:snapToGrid w:val="0"/>
        <w:spacing w:line="360" w:lineRule="auto"/>
        <w:ind w:firstLine="42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5．支付</w:t>
      </w:r>
    </w:p>
    <w:p w14:paraId="4F3D9496">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5.1支付货币</w:t>
      </w:r>
    </w:p>
    <w:p w14:paraId="7AFC24C0">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币种为：</w:t>
      </w:r>
      <w:r>
        <w:rPr>
          <w:rFonts w:hint="eastAsia" w:ascii="宋体" w:hAnsi="宋体" w:eastAsia="宋体" w:cs="宋体"/>
          <w:color w:val="auto"/>
          <w:sz w:val="21"/>
          <w:szCs w:val="21"/>
          <w:highlight w:val="none"/>
          <w:u w:val="single"/>
        </w:rPr>
        <w:t>人民币</w:t>
      </w:r>
      <w:r>
        <w:rPr>
          <w:rFonts w:hint="eastAsia" w:ascii="宋体" w:hAnsi="宋体" w:eastAsia="宋体" w:cs="宋体"/>
          <w:color w:val="auto"/>
          <w:sz w:val="21"/>
          <w:szCs w:val="21"/>
          <w:highlight w:val="none"/>
        </w:rPr>
        <w:t>，比例为：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，汇率为：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3D0DDE3">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5.2支付酬金</w:t>
      </w:r>
    </w:p>
    <w:p w14:paraId="5D24605B">
      <w:pPr>
        <w:keepNext w:val="0"/>
        <w:keepLines w:val="0"/>
        <w:pageBreakBefore w:val="0"/>
        <w:widowControl/>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本项目监理费按费率进行结算，合同金额为暂定合同金额，付款及结算方式如下：</w:t>
      </w:r>
    </w:p>
    <w:p w14:paraId="6F61EFA9">
      <w:pPr>
        <w:keepNext w:val="0"/>
        <w:keepLines w:val="0"/>
        <w:pageBreakBefore w:val="0"/>
        <w:widowControl/>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cs="宋体"/>
          <w:color w:val="auto"/>
          <w:sz w:val="21"/>
          <w:szCs w:val="21"/>
          <w:highlight w:val="none"/>
          <w:u w:val="single"/>
          <w:lang w:eastAsia="zh-CN"/>
        </w:rPr>
        <w:t>（</w:t>
      </w:r>
      <w:r>
        <w:rPr>
          <w:rFonts w:hint="eastAsia" w:ascii="宋体" w:hAnsi="宋体" w:cs="宋体"/>
          <w:color w:val="auto"/>
          <w:sz w:val="21"/>
          <w:szCs w:val="21"/>
          <w:highlight w:val="none"/>
          <w:u w:val="single"/>
          <w:lang w:val="en-US" w:eastAsia="zh-CN"/>
        </w:rPr>
        <w:t>1</w:t>
      </w:r>
      <w:r>
        <w:rPr>
          <w:rFonts w:hint="eastAsia" w:ascii="宋体" w:hAnsi="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合同签订后，达到付款条件起30日内，支付合同暂定金额的</w:t>
      </w:r>
      <w:r>
        <w:rPr>
          <w:rFonts w:hint="eastAsia" w:ascii="宋体" w:hAnsi="宋体" w:cs="宋体"/>
          <w:color w:val="auto"/>
          <w:sz w:val="21"/>
          <w:szCs w:val="21"/>
          <w:highlight w:val="none"/>
          <w:u w:val="single"/>
          <w:lang w:val="en-US" w:eastAsia="zh-CN"/>
        </w:rPr>
        <w:t>4</w:t>
      </w:r>
      <w:r>
        <w:rPr>
          <w:rFonts w:hint="eastAsia" w:ascii="宋体" w:hAnsi="宋体" w:eastAsia="宋体" w:cs="宋体"/>
          <w:color w:val="auto"/>
          <w:sz w:val="21"/>
          <w:szCs w:val="21"/>
          <w:highlight w:val="none"/>
          <w:u w:val="single"/>
        </w:rPr>
        <w:t>0%；工程竣工验收合格，达到付款条件起 30日内，支付合同暂定金额的40%；项目经财政评审或审计完成后，达到付款条件，支付经财政评审或审计后的监理费剩余款项。</w:t>
      </w:r>
    </w:p>
    <w:p w14:paraId="26192053">
      <w:pPr>
        <w:keepNext w:val="0"/>
        <w:keepLines w:val="0"/>
        <w:pageBreakBefore w:val="0"/>
        <w:widowControl/>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本项目按照费率结算，根据本项目实际情况，若本项目经财政评审（或审计）工程建安结算总价低于本项目施工预算审定价（最高限价），监理费按照成交监理费费率调整后的总价结算（工程监理费=经财政评审（或审计）工程建安结算总价×成交监理费费率），其他情况按合同暂定金额结算。</w:t>
      </w:r>
    </w:p>
    <w:p w14:paraId="5E3F1784">
      <w:pPr>
        <w:pStyle w:val="2"/>
        <w:keepNext w:val="0"/>
        <w:keepLines w:val="0"/>
        <w:pageBreakBefore w:val="0"/>
        <w:kinsoku/>
        <w:wordWrap/>
        <w:overflowPunct/>
        <w:topLinePunct w:val="0"/>
        <w:autoSpaceDE/>
        <w:autoSpaceDN/>
        <w:bidi w:val="0"/>
        <w:adjustRightInd/>
        <w:snapToGrid/>
        <w:spacing w:after="0" w:line="348" w:lineRule="auto"/>
        <w:ind w:firstLine="420" w:firstLineChars="200"/>
        <w:textAlignment w:val="auto"/>
        <w:rPr>
          <w:rFonts w:hint="eastAsia"/>
          <w:color w:val="auto"/>
          <w:szCs w:val="21"/>
          <w:highlight w:val="none"/>
          <w:u w:val="single"/>
        </w:rPr>
      </w:pPr>
      <w:r>
        <w:rPr>
          <w:color w:val="auto"/>
          <w:szCs w:val="21"/>
          <w:highlight w:val="none"/>
          <w:u w:val="single"/>
        </w:rPr>
        <w:t>（2）付款前，</w:t>
      </w:r>
      <w:r>
        <w:rPr>
          <w:rFonts w:hint="eastAsia"/>
          <w:color w:val="auto"/>
          <w:szCs w:val="21"/>
          <w:highlight w:val="none"/>
          <w:u w:val="single"/>
          <w:lang w:val="en-US" w:eastAsia="zh-CN"/>
        </w:rPr>
        <w:t>乙方</w:t>
      </w:r>
      <w:r>
        <w:rPr>
          <w:rFonts w:hint="eastAsia"/>
          <w:color w:val="auto"/>
          <w:szCs w:val="21"/>
          <w:highlight w:val="none"/>
          <w:u w:val="single"/>
        </w:rPr>
        <w:t>方应开具与付款金额一致的正式发票给</w:t>
      </w:r>
      <w:r>
        <w:rPr>
          <w:rFonts w:hint="eastAsia"/>
          <w:color w:val="auto"/>
          <w:szCs w:val="21"/>
          <w:highlight w:val="none"/>
          <w:u w:val="single"/>
          <w:lang w:val="en-US" w:eastAsia="zh-CN"/>
        </w:rPr>
        <w:t>甲方</w:t>
      </w:r>
      <w:r>
        <w:rPr>
          <w:rFonts w:hint="eastAsia"/>
          <w:color w:val="auto"/>
          <w:szCs w:val="21"/>
          <w:highlight w:val="none"/>
          <w:u w:val="single"/>
        </w:rPr>
        <w:t>，</w:t>
      </w:r>
      <w:r>
        <w:rPr>
          <w:rFonts w:hint="eastAsia"/>
          <w:color w:val="auto"/>
          <w:szCs w:val="21"/>
          <w:highlight w:val="none"/>
          <w:u w:val="single"/>
          <w:lang w:val="en-US" w:eastAsia="zh-CN"/>
        </w:rPr>
        <w:t>甲方</w:t>
      </w:r>
      <w:r>
        <w:rPr>
          <w:rFonts w:hint="eastAsia"/>
          <w:color w:val="auto"/>
          <w:szCs w:val="21"/>
          <w:highlight w:val="none"/>
          <w:u w:val="single"/>
        </w:rPr>
        <w:t>收到发票后以银行转账形式支付给</w:t>
      </w:r>
      <w:r>
        <w:rPr>
          <w:rFonts w:hint="eastAsia"/>
          <w:color w:val="auto"/>
          <w:szCs w:val="21"/>
          <w:highlight w:val="none"/>
          <w:u w:val="single"/>
          <w:lang w:val="en-US" w:eastAsia="zh-CN"/>
        </w:rPr>
        <w:t>乙方</w:t>
      </w:r>
      <w:r>
        <w:rPr>
          <w:rFonts w:hint="eastAsia"/>
          <w:color w:val="auto"/>
          <w:szCs w:val="21"/>
          <w:highlight w:val="none"/>
          <w:u w:val="single"/>
        </w:rPr>
        <w:t>服务费，否则，</w:t>
      </w:r>
      <w:r>
        <w:rPr>
          <w:rFonts w:hint="eastAsia"/>
          <w:color w:val="auto"/>
          <w:szCs w:val="21"/>
          <w:highlight w:val="none"/>
          <w:u w:val="single"/>
          <w:lang w:val="en-US" w:eastAsia="zh-CN"/>
        </w:rPr>
        <w:t>甲方</w:t>
      </w:r>
      <w:r>
        <w:rPr>
          <w:rFonts w:hint="eastAsia"/>
          <w:color w:val="auto"/>
          <w:szCs w:val="21"/>
          <w:highlight w:val="none"/>
          <w:u w:val="single"/>
        </w:rPr>
        <w:t>有权拒绝付款且不承担任何违约责任，且</w:t>
      </w:r>
      <w:r>
        <w:rPr>
          <w:rFonts w:hint="eastAsia"/>
          <w:color w:val="auto"/>
          <w:szCs w:val="21"/>
          <w:highlight w:val="none"/>
          <w:u w:val="single"/>
          <w:lang w:val="en-US" w:eastAsia="zh-CN"/>
        </w:rPr>
        <w:t>乙</w:t>
      </w:r>
      <w:r>
        <w:rPr>
          <w:rFonts w:hint="eastAsia"/>
          <w:color w:val="auto"/>
          <w:szCs w:val="21"/>
          <w:highlight w:val="none"/>
          <w:u w:val="single"/>
        </w:rPr>
        <w:t>方不得以此为由停止履行本合同项下的任意义务。</w:t>
      </w:r>
    </w:p>
    <w:p w14:paraId="1AB322C9">
      <w:pPr>
        <w:keepNext w:val="0"/>
        <w:keepLines w:val="0"/>
        <w:pageBreakBefore w:val="0"/>
        <w:widowControl/>
        <w:kinsoku/>
        <w:wordWrap/>
        <w:overflowPunct/>
        <w:topLinePunct w:val="0"/>
        <w:autoSpaceDE/>
        <w:autoSpaceDN/>
        <w:bidi w:val="0"/>
        <w:adjustRightInd/>
        <w:snapToGrid/>
        <w:spacing w:line="348" w:lineRule="auto"/>
        <w:ind w:firstLine="420" w:firstLineChars="200"/>
        <w:jc w:val="left"/>
        <w:textAlignment w:val="auto"/>
        <w:rPr>
          <w:rFonts w:hint="eastAsia"/>
          <w:color w:val="auto"/>
          <w:szCs w:val="21"/>
          <w:highlight w:val="none"/>
          <w:u w:val="single"/>
        </w:rPr>
      </w:pPr>
      <w:r>
        <w:rPr>
          <w:rFonts w:hint="eastAsia"/>
          <w:color w:val="auto"/>
          <w:szCs w:val="21"/>
          <w:highlight w:val="none"/>
          <w:u w:val="single"/>
          <w:lang w:eastAsia="zh-CN"/>
        </w:rPr>
        <w:t>（</w:t>
      </w:r>
      <w:r>
        <w:rPr>
          <w:rFonts w:hint="eastAsia"/>
          <w:color w:val="auto"/>
          <w:szCs w:val="21"/>
          <w:highlight w:val="none"/>
          <w:u w:val="single"/>
          <w:lang w:val="en-US" w:eastAsia="zh-CN"/>
        </w:rPr>
        <w:t>3</w:t>
      </w:r>
      <w:r>
        <w:rPr>
          <w:rFonts w:hint="eastAsia"/>
          <w:color w:val="auto"/>
          <w:szCs w:val="21"/>
          <w:highlight w:val="none"/>
          <w:u w:val="single"/>
          <w:lang w:eastAsia="zh-CN"/>
        </w:rPr>
        <w:t>）</w:t>
      </w:r>
      <w:r>
        <w:rPr>
          <w:rFonts w:hint="eastAsia"/>
          <w:color w:val="auto"/>
          <w:szCs w:val="21"/>
          <w:highlight w:val="none"/>
          <w:u w:val="single"/>
        </w:rPr>
        <w:t>因</w:t>
      </w:r>
      <w:r>
        <w:rPr>
          <w:rFonts w:hint="eastAsia"/>
          <w:color w:val="auto"/>
          <w:szCs w:val="21"/>
          <w:highlight w:val="none"/>
          <w:u w:val="single"/>
          <w:lang w:val="en-US" w:eastAsia="zh-CN"/>
        </w:rPr>
        <w:t>甲方</w:t>
      </w:r>
      <w:r>
        <w:rPr>
          <w:rFonts w:hint="eastAsia"/>
          <w:color w:val="auto"/>
          <w:szCs w:val="21"/>
          <w:highlight w:val="none"/>
          <w:u w:val="single"/>
        </w:rPr>
        <w:t>所有的付款均需财政部门审批，本合同履行期间，非因</w:t>
      </w:r>
      <w:r>
        <w:rPr>
          <w:rFonts w:hint="eastAsia"/>
          <w:color w:val="auto"/>
          <w:szCs w:val="21"/>
          <w:highlight w:val="none"/>
          <w:u w:val="single"/>
          <w:lang w:val="en-US" w:eastAsia="zh-CN"/>
        </w:rPr>
        <w:t>甲方</w:t>
      </w:r>
      <w:r>
        <w:rPr>
          <w:rFonts w:hint="eastAsia"/>
          <w:color w:val="auto"/>
          <w:szCs w:val="21"/>
          <w:highlight w:val="none"/>
          <w:u w:val="single"/>
        </w:rPr>
        <w:t>故意拖延付款申请流程造成的逾期付款的，</w:t>
      </w:r>
      <w:r>
        <w:rPr>
          <w:rFonts w:hint="eastAsia"/>
          <w:color w:val="auto"/>
          <w:szCs w:val="21"/>
          <w:highlight w:val="none"/>
          <w:u w:val="single"/>
          <w:lang w:val="en-US" w:eastAsia="zh-CN"/>
        </w:rPr>
        <w:t>乙</w:t>
      </w:r>
      <w:r>
        <w:rPr>
          <w:rFonts w:hint="eastAsia"/>
          <w:color w:val="auto"/>
          <w:szCs w:val="21"/>
          <w:highlight w:val="none"/>
          <w:u w:val="single"/>
        </w:rPr>
        <w:t>方对此予以谅解不得追究</w:t>
      </w:r>
      <w:r>
        <w:rPr>
          <w:rFonts w:hint="eastAsia"/>
          <w:color w:val="auto"/>
          <w:szCs w:val="21"/>
          <w:highlight w:val="none"/>
          <w:u w:val="single"/>
          <w:lang w:val="en-US" w:eastAsia="zh-CN"/>
        </w:rPr>
        <w:t>甲方</w:t>
      </w:r>
      <w:r>
        <w:rPr>
          <w:rFonts w:hint="eastAsia"/>
          <w:color w:val="auto"/>
          <w:szCs w:val="21"/>
          <w:highlight w:val="none"/>
          <w:u w:val="single"/>
        </w:rPr>
        <w:t>的逾期付款责任。</w:t>
      </w:r>
    </w:p>
    <w:p w14:paraId="3979FE85">
      <w:pPr>
        <w:pStyle w:val="2"/>
        <w:keepNext w:val="0"/>
        <w:keepLines w:val="0"/>
        <w:pageBreakBefore w:val="0"/>
        <w:kinsoku/>
        <w:wordWrap/>
        <w:overflowPunct/>
        <w:topLinePunct w:val="0"/>
        <w:autoSpaceDE/>
        <w:autoSpaceDN/>
        <w:bidi w:val="0"/>
        <w:adjustRightInd/>
        <w:snapToGrid/>
        <w:spacing w:after="0" w:line="348" w:lineRule="auto"/>
        <w:ind w:firstLine="420" w:firstLineChars="200"/>
        <w:textAlignment w:val="auto"/>
        <w:rPr>
          <w:rFonts w:hint="eastAsia" w:ascii="宋体" w:hAnsi="宋体" w:cs="仿宋_GB2312"/>
          <w:color w:val="auto"/>
          <w:szCs w:val="21"/>
          <w:highlight w:val="none"/>
          <w:u w:val="single"/>
          <w:lang w:eastAsia="zh-CN"/>
        </w:rPr>
      </w:pPr>
      <w:r>
        <w:rPr>
          <w:rFonts w:hint="eastAsia"/>
          <w:color w:val="auto"/>
          <w:szCs w:val="21"/>
          <w:highlight w:val="none"/>
          <w:u w:val="single"/>
          <w:lang w:eastAsia="zh-CN"/>
        </w:rPr>
        <w:t>（</w:t>
      </w:r>
      <w:r>
        <w:rPr>
          <w:rFonts w:hint="eastAsia"/>
          <w:color w:val="auto"/>
          <w:szCs w:val="21"/>
          <w:highlight w:val="none"/>
          <w:u w:val="single"/>
          <w:lang w:val="en-US" w:eastAsia="zh-CN"/>
        </w:rPr>
        <w:t>4</w:t>
      </w:r>
      <w:r>
        <w:rPr>
          <w:rFonts w:hint="eastAsia"/>
          <w:color w:val="auto"/>
          <w:szCs w:val="21"/>
          <w:highlight w:val="none"/>
          <w:u w:val="single"/>
          <w:lang w:eastAsia="zh-CN"/>
        </w:rPr>
        <w:t>）</w:t>
      </w:r>
      <w:r>
        <w:rPr>
          <w:rFonts w:ascii="宋体" w:hAnsi="宋体" w:cs="仿宋_GB2312"/>
          <w:color w:val="auto"/>
          <w:szCs w:val="21"/>
          <w:highlight w:val="none"/>
          <w:u w:val="single"/>
        </w:rPr>
        <w:t>如本项目延期，其中因项目暂停导致的延期，暂停时间不计监理费；如本项目工期出现延误，</w:t>
      </w:r>
      <w:r>
        <w:rPr>
          <w:rFonts w:hint="eastAsia" w:ascii="宋体" w:hAnsi="宋体" w:cs="仿宋_GB2312"/>
          <w:color w:val="auto"/>
          <w:szCs w:val="21"/>
          <w:highlight w:val="none"/>
          <w:u w:val="single"/>
          <w:lang w:val="en-US" w:eastAsia="zh-CN"/>
        </w:rPr>
        <w:t>服务方</w:t>
      </w:r>
      <w:r>
        <w:rPr>
          <w:rFonts w:ascii="宋体" w:hAnsi="宋体" w:cs="仿宋_GB2312"/>
          <w:color w:val="auto"/>
          <w:szCs w:val="21"/>
          <w:highlight w:val="none"/>
          <w:u w:val="single"/>
        </w:rPr>
        <w:t>无权主张相关费用</w:t>
      </w:r>
      <w:r>
        <w:rPr>
          <w:rFonts w:hint="eastAsia" w:ascii="宋体" w:hAnsi="宋体" w:cs="仿宋_GB2312"/>
          <w:color w:val="auto"/>
          <w:szCs w:val="21"/>
          <w:highlight w:val="none"/>
          <w:u w:val="single"/>
          <w:lang w:eastAsia="zh-CN"/>
        </w:rPr>
        <w:t>。</w:t>
      </w:r>
    </w:p>
    <w:p w14:paraId="485ECA86">
      <w:pPr>
        <w:pStyle w:val="2"/>
        <w:keepNext w:val="0"/>
        <w:keepLines w:val="0"/>
        <w:pageBreakBefore w:val="0"/>
        <w:kinsoku/>
        <w:wordWrap/>
        <w:overflowPunct/>
        <w:topLinePunct w:val="0"/>
        <w:autoSpaceDE/>
        <w:autoSpaceDN/>
        <w:bidi w:val="0"/>
        <w:adjustRightInd/>
        <w:snapToGrid/>
        <w:spacing w:after="0" w:line="348" w:lineRule="auto"/>
        <w:ind w:firstLine="420" w:firstLineChars="200"/>
        <w:textAlignment w:val="auto"/>
        <w:rPr>
          <w:rFonts w:hint="eastAsia" w:ascii="宋体" w:hAnsi="宋体" w:cs="仿宋_GB2312"/>
          <w:color w:val="auto"/>
          <w:szCs w:val="21"/>
          <w:highlight w:val="none"/>
          <w:u w:val="single"/>
          <w:lang w:eastAsia="zh-CN"/>
        </w:rPr>
      </w:pPr>
      <w:r>
        <w:rPr>
          <w:rFonts w:hint="eastAsia" w:ascii="Times New Roman" w:hAnsi="Times New Roman" w:eastAsia="宋体" w:cs="Times New Roman"/>
          <w:color w:val="auto"/>
          <w:szCs w:val="21"/>
          <w:highlight w:val="none"/>
          <w:u w:val="single"/>
          <w:lang w:eastAsia="zh-CN"/>
        </w:rPr>
        <w:t>（</w:t>
      </w:r>
      <w:r>
        <w:rPr>
          <w:rFonts w:hint="eastAsia" w:ascii="Times New Roman" w:hAnsi="Times New Roman" w:eastAsia="宋体" w:cs="Times New Roman"/>
          <w:color w:val="auto"/>
          <w:szCs w:val="21"/>
          <w:highlight w:val="none"/>
          <w:u w:val="single"/>
          <w:lang w:val="en-US" w:eastAsia="zh-CN"/>
        </w:rPr>
        <w:t>5</w:t>
      </w:r>
      <w:r>
        <w:rPr>
          <w:rFonts w:hint="eastAsia" w:ascii="Times New Roman" w:hAnsi="Times New Roman" w:eastAsia="宋体" w:cs="Times New Roman"/>
          <w:color w:val="auto"/>
          <w:szCs w:val="21"/>
          <w:highlight w:val="none"/>
          <w:u w:val="single"/>
          <w:lang w:eastAsia="zh-CN"/>
        </w:rPr>
        <w:t>）</w:t>
      </w:r>
      <w:r>
        <w:rPr>
          <w:rFonts w:hint="eastAsia" w:ascii="Times New Roman" w:hAnsi="Times New Roman" w:eastAsia="宋体" w:cs="Times New Roman"/>
          <w:color w:val="auto"/>
          <w:szCs w:val="21"/>
          <w:highlight w:val="none"/>
          <w:u w:val="single"/>
          <w:lang w:val="en-US" w:eastAsia="zh-CN"/>
        </w:rPr>
        <w:t>甲方可直接或间接的根据政府购买服务绩效管理办法对项目进行绩效评价，资金支付将与绩效评价结果关联，其中评价结果为优的，付至合同总价的  %，评价结果为良好的，付至合同总价的  %，评价结果为合格的，付至合同总价的  %，评价结果为差的，付至合同总价的  %。（90分以上为优秀，80分以上、不足90分的为良好，60分以上、不足80分的为合格，不足60分的为不合格）。</w:t>
      </w:r>
    </w:p>
    <w:p w14:paraId="335D741C">
      <w:pPr>
        <w:snapToGrid w:val="0"/>
        <w:spacing w:line="360" w:lineRule="auto"/>
        <w:ind w:firstLine="42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6．合同生效、变更、暂停、解除与终止</w:t>
      </w:r>
    </w:p>
    <w:p w14:paraId="460A8F4C">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6.1生效</w:t>
      </w:r>
    </w:p>
    <w:p w14:paraId="28B3413C">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本合同生效条件：双方签字（章）、加盖单位公章</w:t>
      </w:r>
      <w:r>
        <w:rPr>
          <w:rFonts w:hint="eastAsia" w:ascii="宋体" w:hAnsi="宋体" w:eastAsia="宋体" w:cs="宋体"/>
          <w:color w:val="auto"/>
          <w:sz w:val="21"/>
          <w:szCs w:val="21"/>
          <w:highlight w:val="none"/>
        </w:rPr>
        <w:t xml:space="preserve"> 。</w:t>
      </w:r>
    </w:p>
    <w:p w14:paraId="1AEE78B2">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6.2变更</w:t>
      </w:r>
    </w:p>
    <w:p w14:paraId="4DCAC0BE">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6.2.2除不可抗力外，因非监理人原因导致本合同期限延长时：</w:t>
      </w:r>
      <w:r>
        <w:rPr>
          <w:rFonts w:hint="eastAsia" w:ascii="宋体" w:hAnsi="宋体" w:eastAsia="宋体" w:cs="宋体"/>
          <w:color w:val="auto"/>
          <w:sz w:val="21"/>
          <w:szCs w:val="21"/>
          <w:highlight w:val="none"/>
          <w:u w:val="single"/>
        </w:rPr>
        <w:t>延时和附加工作酬金包含在报价中</w:t>
      </w:r>
      <w:r>
        <w:rPr>
          <w:rFonts w:hint="eastAsia" w:ascii="宋体" w:hAnsi="宋体" w:eastAsia="宋体" w:cs="宋体"/>
          <w:color w:val="auto"/>
          <w:sz w:val="21"/>
          <w:szCs w:val="21"/>
          <w:highlight w:val="none"/>
        </w:rPr>
        <w:t>。</w:t>
      </w:r>
    </w:p>
    <w:p w14:paraId="630849E7">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6.2.3附加工作酬金按下列方法确定；</w:t>
      </w:r>
    </w:p>
    <w:p w14:paraId="7CF14271">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延时及附加工作酬金全部包含在投标报价中</w:t>
      </w:r>
      <w:r>
        <w:rPr>
          <w:rFonts w:hint="eastAsia" w:ascii="宋体" w:hAnsi="宋体" w:eastAsia="宋体" w:cs="宋体"/>
          <w:color w:val="auto"/>
          <w:sz w:val="21"/>
          <w:szCs w:val="21"/>
          <w:highlight w:val="none"/>
        </w:rPr>
        <w:t>。</w:t>
      </w:r>
    </w:p>
    <w:p w14:paraId="1E486541">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6.2.4因工程规模、监理范围的变化导致监理人的正常工作量减少时，按减少工作量的比例从协议书约定的正常工作酬金中扣减相同比例的酬金。</w:t>
      </w:r>
    </w:p>
    <w:p w14:paraId="774625E9">
      <w:pPr>
        <w:snapToGrid w:val="0"/>
        <w:spacing w:line="360" w:lineRule="auto"/>
        <w:ind w:firstLine="42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7．争议解决</w:t>
      </w:r>
    </w:p>
    <w:p w14:paraId="3EE1AD05">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7.1调解</w:t>
      </w:r>
    </w:p>
    <w:p w14:paraId="3F819712">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本合同争议进行调解时，可提交西安仲裁委员会进行调解。</w:t>
      </w:r>
    </w:p>
    <w:p w14:paraId="6FD297AD">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7.2钟裁或诉讼</w:t>
      </w:r>
    </w:p>
    <w:p w14:paraId="0BAD990B">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合同争议的最终解决方式为下列第</w:t>
      </w:r>
      <w:r>
        <w:rPr>
          <w:rFonts w:hint="eastAsia" w:ascii="宋体" w:hAnsi="宋体" w:eastAsia="宋体" w:cs="宋体"/>
          <w:color w:val="auto"/>
          <w:sz w:val="21"/>
          <w:szCs w:val="21"/>
          <w:highlight w:val="none"/>
          <w:u w:val="single"/>
        </w:rPr>
        <w:t>（2）</w:t>
      </w:r>
      <w:r>
        <w:rPr>
          <w:rFonts w:hint="eastAsia" w:ascii="宋体" w:hAnsi="宋体" w:eastAsia="宋体" w:cs="宋体"/>
          <w:color w:val="auto"/>
          <w:sz w:val="21"/>
          <w:szCs w:val="21"/>
          <w:highlight w:val="none"/>
        </w:rPr>
        <w:t>种方式：</w:t>
      </w:r>
    </w:p>
    <w:p w14:paraId="4CD5676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（1）提请（西安）仲裁委员会进行仲裁。</w:t>
      </w:r>
    </w:p>
    <w:p w14:paraId="49886B36">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（2）向工程所在地人民法院提起诉讼。</w:t>
      </w:r>
    </w:p>
    <w:p w14:paraId="5A692F7B">
      <w:pPr>
        <w:snapToGrid w:val="0"/>
        <w:spacing w:line="360" w:lineRule="auto"/>
        <w:ind w:firstLine="42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8．其他</w:t>
      </w:r>
    </w:p>
    <w:p w14:paraId="34E48273">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保密</w:t>
      </w:r>
    </w:p>
    <w:p w14:paraId="41C2A555">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委托人申明的保密事项的期限：</w:t>
      </w:r>
      <w:r>
        <w:rPr>
          <w:rFonts w:hint="eastAsia" w:ascii="宋体" w:hAnsi="宋体" w:eastAsia="宋体" w:cs="宋体"/>
          <w:color w:val="auto"/>
          <w:sz w:val="21"/>
          <w:szCs w:val="21"/>
          <w:highlight w:val="none"/>
          <w:u w:val="single"/>
        </w:rPr>
        <w:t>与委托人及工程相关有关信息应永久保密</w:t>
      </w:r>
      <w:r>
        <w:rPr>
          <w:rFonts w:hint="eastAsia" w:ascii="宋体" w:hAnsi="宋体" w:eastAsia="宋体" w:cs="宋体"/>
          <w:color w:val="auto"/>
          <w:sz w:val="21"/>
          <w:szCs w:val="21"/>
          <w:highlight w:val="none"/>
        </w:rPr>
        <w:t>。</w:t>
      </w:r>
    </w:p>
    <w:p w14:paraId="5A373931">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监理人申明的保密事项和期限：</w:t>
      </w:r>
      <w:r>
        <w:rPr>
          <w:rFonts w:hint="eastAsia" w:ascii="宋体" w:hAnsi="宋体" w:eastAsia="宋体" w:cs="宋体"/>
          <w:color w:val="auto"/>
          <w:sz w:val="21"/>
          <w:szCs w:val="21"/>
          <w:highlight w:val="none"/>
          <w:u w:val="single"/>
        </w:rPr>
        <w:t>与监理人有关信息应永久保密</w:t>
      </w:r>
      <w:r>
        <w:rPr>
          <w:rFonts w:hint="eastAsia" w:ascii="宋体" w:hAnsi="宋体" w:eastAsia="宋体" w:cs="宋体"/>
          <w:color w:val="auto"/>
          <w:sz w:val="21"/>
          <w:szCs w:val="21"/>
          <w:highlight w:val="none"/>
        </w:rPr>
        <w:t>。</w:t>
      </w:r>
    </w:p>
    <w:p w14:paraId="7050D0AA">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第三方申明的保密事项和期限：</w:t>
      </w:r>
      <w:r>
        <w:rPr>
          <w:rFonts w:hint="eastAsia" w:ascii="宋体" w:hAnsi="宋体" w:eastAsia="宋体" w:cs="宋体"/>
          <w:color w:val="auto"/>
          <w:sz w:val="21"/>
          <w:szCs w:val="21"/>
          <w:highlight w:val="none"/>
          <w:u w:val="single"/>
        </w:rPr>
        <w:t>保守各方的相关商业机密或企业信息</w:t>
      </w:r>
      <w:r>
        <w:rPr>
          <w:rFonts w:hint="eastAsia" w:ascii="宋体" w:hAnsi="宋体" w:eastAsia="宋体" w:cs="宋体"/>
          <w:color w:val="auto"/>
          <w:sz w:val="21"/>
          <w:szCs w:val="21"/>
          <w:highlight w:val="none"/>
        </w:rPr>
        <w:t>。</w:t>
      </w:r>
    </w:p>
    <w:p w14:paraId="540ADF26">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著作权</w:t>
      </w:r>
    </w:p>
    <w:p w14:paraId="5AC47142">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监理人在本合同履行期间及本合同终止后两年内出版涉及本工程的有关监理与相关服务的资料的限制条件：</w:t>
      </w:r>
      <w:r>
        <w:rPr>
          <w:rFonts w:hint="eastAsia" w:ascii="宋体" w:hAnsi="宋体" w:eastAsia="宋体" w:cs="宋体"/>
          <w:color w:val="auto"/>
          <w:sz w:val="21"/>
          <w:szCs w:val="21"/>
          <w:highlight w:val="none"/>
          <w:u w:val="single"/>
        </w:rPr>
        <w:t>与本工程有关内容须经委托人同意后方可发表</w:t>
      </w:r>
      <w:r>
        <w:rPr>
          <w:rFonts w:hint="eastAsia" w:ascii="宋体" w:hAnsi="宋体" w:eastAsia="宋体" w:cs="宋体"/>
          <w:color w:val="auto"/>
          <w:sz w:val="21"/>
          <w:szCs w:val="21"/>
          <w:highlight w:val="none"/>
        </w:rPr>
        <w:t>。</w:t>
      </w:r>
    </w:p>
    <w:p w14:paraId="06429451">
      <w:pPr>
        <w:snapToGrid w:val="0"/>
        <w:spacing w:line="360" w:lineRule="auto"/>
        <w:ind w:firstLine="42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9．补充条款</w:t>
      </w:r>
    </w:p>
    <w:p w14:paraId="3F2C5775">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本次投标的主要监理人员名单及相应学历、从业资格证书复印件作为合同附件一。未经委托人同意，监理人不得擅自更换委托人在合同签订时认定的总监理工程师、总监代表及主要监理工程师。如确有特殊原因需要更换时，必须征得委托人同意后方可更换；如监理人未征得委托人同意随意更换，每人/次委托人有权扣除监理人</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至</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万元监理酬金作为违约金；</w:t>
      </w:r>
    </w:p>
    <w:p w14:paraId="3E26232D">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监理人调换总监理工程师或监理机构人员调换前须和委托人提出书面报告并附上替代人员的所有证明资料，经委托人书面同意后方可调换（因自身原因主动调换时另应承担相应违约金）：或委托人要求监理单位更换个别监理人员时，监理单位在接到委托人通知后两周内安排更换。否则，委托人将有权延期支付监理酬金并采取扣除违约金直至监理人采取纠正措施；情节严重的，委托人有权单方面解除合同。</w:t>
      </w:r>
    </w:p>
    <w:p w14:paraId="5EA9C0E9">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9.3本项目分步实施，监理工期应满足本项目总工期要求，具体监理期结束时间以本项目最后一个单项竣工结算完成为止。</w:t>
      </w:r>
    </w:p>
    <w:p w14:paraId="57A3C2A7">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9.4监理酬金结算按照约定执行。</w:t>
      </w:r>
    </w:p>
    <w:p w14:paraId="585D889D">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9.5监理人派往本项目的总监理工程师为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。监理人应保证除总监理工程师以外，现场至少派驻</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名专业监理工程师；监理人必须保证总监理工程师全面履行监理人义务，为保证随时联系和沟通，应保持通讯工具24小时畅通。总监理工程师必须常驻现场（驻场时间每周不少于五天），总监外出三天以上需征得委托人同意，在此期间如出现任何监理方面的问题均由总监负责，如月统计少于以上规定，每次（天）扣除违约金2000元/人。</w:t>
      </w:r>
    </w:p>
    <w:p w14:paraId="6C433A6B">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监理部人员不得兼职，且现场人数监理人员不得少于</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人，如总监理工程师（或总监代表）离场需经建设单位代表批准，如有违反，委托人将通报批评并每天扣除违约金2000元/人，各专业监理工程师离场1天以内要经过总监理工程师批准，2天或以上的需书面申请并经委托人代表批准，如有违反，委托人将通报批评并每天扣除违约金1000元/人。多次缺勤情节严重的，委托人有权单方面解除合同。</w:t>
      </w:r>
    </w:p>
    <w:p w14:paraId="404E12A9">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9.6未经委托人同意、监理人自行更换总监理工程师（总代），根据对委托人的影响程度，每次扣除违约金2万元/人。在工程监理工作过程中，若发现现场监理人员有三次不到场，根据对委托人的影响程度，扣除每人次2万元以内的违约金。若监理人未按照委托人要求的时间内及时更换总监理工程师（或总监代表），逾期每日扣除违约金2000元。</w:t>
      </w:r>
    </w:p>
    <w:p w14:paraId="628E129A">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9.7现场监理指令错误或不及时，或不能对承包人虚报或高估冒算不能有效审核，或出现虚假监理资料的，每次扣除违约金0.3-5万元违约金。</w:t>
      </w:r>
    </w:p>
    <w:p w14:paraId="531C8FE1">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9.8监理人在工程全过程的旁站监理中，应保证旁站人员及时到位，</w:t>
      </w:r>
      <w:r>
        <w:rPr>
          <w:rFonts w:hint="eastAsia" w:ascii="宋体" w:hAnsi="宋体" w:eastAsia="宋体" w:cs="宋体"/>
          <w:color w:val="auto"/>
          <w:sz w:val="21"/>
          <w:szCs w:val="21"/>
          <w:highlight w:val="none"/>
          <w:lang w:val="en-US" w:eastAsia="zh-CN"/>
        </w:rPr>
        <w:t>确保工程质量、数量等达到规范及委托人要求，</w:t>
      </w:r>
      <w:r>
        <w:rPr>
          <w:rFonts w:hint="eastAsia" w:ascii="宋体" w:hAnsi="宋体" w:eastAsia="宋体" w:cs="宋体"/>
          <w:color w:val="auto"/>
          <w:sz w:val="21"/>
          <w:szCs w:val="21"/>
          <w:highlight w:val="none"/>
        </w:rPr>
        <w:t>委托人在不定期检查时若发现，关键部位施工旁站监理不在岗</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第一次扣监理酬金5000元，并警告监理人，第二次扣10000元，并在3日内终止合同清除出场，监理人无条件承担相应责任。</w:t>
      </w:r>
    </w:p>
    <w:p w14:paraId="68675E6C">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9.9总监理工程师严格按照有关验收现场规范的规定对承包人施工过程中交付验收部位的工程质量进行验收；若对工程质量不合格或存在明显缺陷的部位不提出质疑或不责令承包人返工整改而予以验收，则每次扣除</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万元违约金。</w:t>
      </w:r>
    </w:p>
    <w:p w14:paraId="434F3960">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9.10</w:t>
      </w:r>
      <w:r>
        <w:rPr>
          <w:rFonts w:hint="eastAsia" w:ascii="宋体" w:hAnsi="宋体" w:eastAsia="宋体" w:cs="宋体"/>
          <w:color w:val="auto"/>
          <w:sz w:val="21"/>
          <w:szCs w:val="21"/>
          <w:highlight w:val="none"/>
        </w:rPr>
        <w:t>监理人在工程全过程的旁站监理中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须严格按照施工及变更图范围进行监理工作，</w:t>
      </w:r>
      <w:r>
        <w:rPr>
          <w:rFonts w:hint="eastAsia" w:ascii="宋体" w:hAnsi="宋体" w:eastAsia="宋体" w:cs="宋体"/>
          <w:color w:val="auto"/>
          <w:sz w:val="21"/>
          <w:szCs w:val="21"/>
          <w:highlight w:val="none"/>
        </w:rPr>
        <w:t>委托人在不定期检查时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若发现</w:t>
      </w:r>
      <w:r>
        <w:rPr>
          <w:rFonts w:hint="eastAsia" w:ascii="宋体" w:hAnsi="宋体" w:eastAsia="宋体" w:cs="宋体"/>
          <w:color w:val="auto"/>
          <w:sz w:val="21"/>
          <w:szCs w:val="21"/>
          <w:highlight w:val="none"/>
          <w:lang w:val="en-US" w:eastAsia="zh-CN"/>
        </w:rPr>
        <w:t>本工程施工图或变更图范围内施工内容没有完全完成，而监理人已</w:t>
      </w:r>
      <w:r>
        <w:rPr>
          <w:rFonts w:hint="eastAsia" w:ascii="宋体" w:hAnsi="宋体" w:eastAsia="宋体" w:cs="宋体"/>
          <w:color w:val="auto"/>
          <w:sz w:val="21"/>
          <w:szCs w:val="21"/>
          <w:highlight w:val="none"/>
        </w:rPr>
        <w:t>予以验收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则每次扣除</w:t>
      </w:r>
      <w:r>
        <w:rPr>
          <w:rFonts w:hint="eastAsia" w:ascii="宋体" w:hAnsi="宋体" w:eastAsia="宋体" w:cs="宋体"/>
          <w:color w:val="auto"/>
          <w:sz w:val="21"/>
          <w:szCs w:val="21"/>
          <w:highlight w:val="none"/>
          <w:lang w:val="en-US" w:eastAsia="zh-CN"/>
        </w:rPr>
        <w:t>0.3-2</w:t>
      </w:r>
      <w:r>
        <w:rPr>
          <w:rFonts w:hint="eastAsia" w:ascii="宋体" w:hAnsi="宋体" w:eastAsia="宋体" w:cs="宋体"/>
          <w:color w:val="auto"/>
          <w:sz w:val="21"/>
          <w:szCs w:val="21"/>
          <w:highlight w:val="none"/>
        </w:rPr>
        <w:t>万元违约金</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交付用户后，用户发现使用过程中因个别部件未施工，造成无法使用，反应到委托人处，经查实，为施工过程问题时，</w:t>
      </w:r>
      <w:r>
        <w:rPr>
          <w:rFonts w:hint="eastAsia" w:ascii="宋体" w:hAnsi="宋体" w:eastAsia="宋体" w:cs="宋体"/>
          <w:color w:val="auto"/>
          <w:sz w:val="21"/>
          <w:szCs w:val="21"/>
          <w:highlight w:val="none"/>
        </w:rPr>
        <w:t>则每次扣除</w:t>
      </w:r>
      <w:r>
        <w:rPr>
          <w:rFonts w:hint="eastAsia" w:ascii="宋体" w:hAnsi="宋体" w:eastAsia="宋体" w:cs="宋体"/>
          <w:color w:val="auto"/>
          <w:sz w:val="21"/>
          <w:szCs w:val="21"/>
          <w:highlight w:val="none"/>
          <w:lang w:val="en-US" w:eastAsia="zh-CN"/>
        </w:rPr>
        <w:t>0.6-5</w:t>
      </w:r>
      <w:r>
        <w:rPr>
          <w:rFonts w:hint="eastAsia" w:ascii="宋体" w:hAnsi="宋体" w:eastAsia="宋体" w:cs="宋体"/>
          <w:color w:val="auto"/>
          <w:sz w:val="21"/>
          <w:szCs w:val="21"/>
          <w:highlight w:val="none"/>
        </w:rPr>
        <w:t>万元违约金。</w:t>
      </w:r>
    </w:p>
    <w:p w14:paraId="1856EDD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9.10监理人应对承包人提交的所有工程资料的真实性、合理性、合法性及时予以确认或提出质疑；若对明显不真实、不合理、不合法的资料不提出质疑且予以确认而上交委托人，则每次扣除</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万元违约金。</w:t>
      </w:r>
    </w:p>
    <w:p w14:paraId="1CC89A90">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9.11监理人在工程完成相应内容并收齐有关资料后的十个工作日内，必须完成质量验收时应由监理单位填写各种资料，交委托人归档，否则，每迟交一天，扣除</w:t>
      </w:r>
      <w:r>
        <w:rPr>
          <w:rFonts w:hint="eastAsia" w:ascii="宋体" w:hAnsi="宋体" w:eastAsia="宋体" w:cs="宋体"/>
          <w:color w:val="auto"/>
          <w:sz w:val="21"/>
          <w:szCs w:val="21"/>
          <w:highlight w:val="none"/>
          <w:lang w:val="en-US" w:eastAsia="zh-CN"/>
        </w:rPr>
        <w:t>500</w:t>
      </w:r>
      <w:r>
        <w:rPr>
          <w:rFonts w:hint="eastAsia" w:ascii="宋体" w:hAnsi="宋体" w:eastAsia="宋体" w:cs="宋体"/>
          <w:color w:val="auto"/>
          <w:sz w:val="21"/>
          <w:szCs w:val="21"/>
          <w:highlight w:val="none"/>
        </w:rPr>
        <w:t>元违约金。</w:t>
      </w:r>
    </w:p>
    <w:p w14:paraId="415B8405">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9.12监理单位未履行监理职责，不能及时发现或制止施工单位违约行为、或未及时向建设单位如实报告相关情况，经工程建设行政主管部门、建设单位查实，根据影响程度，委托人可扣除1-3万元/次的违约金。</w:t>
      </w:r>
    </w:p>
    <w:p w14:paraId="5C3AA396">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9.13本委托监理工程不得转让，一旦发现立即终止合同并清除出场。</w:t>
      </w:r>
    </w:p>
    <w:p w14:paraId="22D6F184">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9.14在保证工程质量的措施和手段上，要有相应的巡视记录和检测的设备。</w:t>
      </w:r>
    </w:p>
    <w:p w14:paraId="19679CFD">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rPr>
        <w:t>9.15监理人必须依据投标文件，配备齐全本工程所涉及的所有专业的监理人员（包括市政、安装、测量、造价、安全、资料等专业），因本项目为</w:t>
      </w:r>
      <w:r>
        <w:rPr>
          <w:rFonts w:hint="eastAsia" w:ascii="宋体" w:hAnsi="宋体" w:eastAsia="宋体" w:cs="宋体"/>
          <w:color w:val="auto"/>
          <w:sz w:val="21"/>
          <w:szCs w:val="21"/>
          <w:highlight w:val="none"/>
          <w:lang w:val="en-US" w:eastAsia="zh-CN"/>
        </w:rPr>
        <w:t>管网改造</w:t>
      </w:r>
      <w:r>
        <w:rPr>
          <w:rFonts w:hint="eastAsia" w:ascii="宋体" w:hAnsi="宋体" w:eastAsia="宋体" w:cs="宋体"/>
          <w:color w:val="auto"/>
          <w:sz w:val="21"/>
          <w:szCs w:val="21"/>
          <w:highlight w:val="none"/>
        </w:rPr>
        <w:t>项目，必须至少配备</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 xml:space="preserve">       </w:t>
      </w:r>
    </w:p>
    <w:p w14:paraId="367C4212">
      <w:pPr>
        <w:keepNext w:val="0"/>
        <w:keepLines w:val="0"/>
        <w:pageBreakBefore w:val="0"/>
        <w:kinsoku/>
        <w:wordWrap/>
        <w:overflowPunct/>
        <w:topLinePunct w:val="0"/>
        <w:autoSpaceDE/>
        <w:autoSpaceDN/>
        <w:bidi w:val="0"/>
        <w:adjustRightInd/>
        <w:snapToGrid/>
        <w:spacing w:line="348"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专业监理人员，所有专业监理人员必须在整个施工过程中常驻现场，监理人必须保证派往本工程的监理人员（包括总监理工程师）不再担任其它工程的监理工作，否则，委托人有权不予支付工程进度款，并视情节单方解除本监理合同，由此造成的一切损失均由监理人承担。</w:t>
      </w:r>
    </w:p>
    <w:p w14:paraId="08D36DFB">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9.16监理人必须为进场监理人员办理个人安全保险，否则在施工现场发生的安全责任事故及意外伤害责任由监理人全权负责；导致委托人承担的，委托人有权向监理人追偿。</w:t>
      </w:r>
    </w:p>
    <w:p w14:paraId="24A7B868">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9.17若监理人不能按时完成监理工作，委托人有权委托其他监理单位协助完成，由此发生的费用从监理服务费中直接扣除，监理服务费不足以扣除的，监理人还应负责补足，监理人对此充分知悉并不持异议。</w:t>
      </w:r>
    </w:p>
    <w:p w14:paraId="11266785">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9.18若因监理人审图不周，致使施工单位在施工中造成重大失误而引起工程成本增加，委托人将视具体情况要求监理人向委托人支付1～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万元的违约金，违约金不足以弥补委托人损失的，监理人还应负责补足。</w:t>
      </w:r>
    </w:p>
    <w:p w14:paraId="65B924DC">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9.19若因监理人工程计量不认真造成月进度款超付现象，根据超付金额的数额，委托人有权要求监理人向委托人支付0.5～</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万元的违约金，违约金不足以弥补委托人损失的，监理人还应负责补足。</w:t>
      </w:r>
    </w:p>
    <w:p w14:paraId="19438C37">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w:t>
      </w:r>
      <w:r>
        <w:rPr>
          <w:rFonts w:hint="eastAsia" w:ascii="宋体" w:hAnsi="宋体" w:cs="宋体"/>
          <w:color w:val="auto"/>
          <w:sz w:val="21"/>
          <w:szCs w:val="21"/>
          <w:highlight w:val="none"/>
          <w:lang w:val="en-US" w:eastAsia="zh-CN"/>
        </w:rPr>
        <w:t>0</w:t>
      </w:r>
      <w:r>
        <w:rPr>
          <w:rFonts w:hint="eastAsia" w:ascii="宋体" w:hAnsi="宋体" w:eastAsia="宋体" w:cs="宋体"/>
          <w:color w:val="auto"/>
          <w:sz w:val="21"/>
          <w:szCs w:val="21"/>
          <w:highlight w:val="none"/>
        </w:rPr>
        <w:t>监理人必须对进场材料、构配件和设备的规格、品牌、数量和进场时间等严格审核。对出现实际进场材料与报验清单不一致或报验清单与施工图纸、设计变更及招投标文件等相关资料要求不一致的情况，监理人没有及时发现的，监理人应根据具体情况向委托人支付</w:t>
      </w:r>
      <w:r>
        <w:rPr>
          <w:rFonts w:hint="eastAsia" w:ascii="宋体" w:hAnsi="宋体" w:eastAsia="宋体" w:cs="宋体"/>
          <w:color w:val="auto"/>
          <w:sz w:val="21"/>
          <w:szCs w:val="21"/>
          <w:highlight w:val="none"/>
          <w:lang w:val="en-US" w:eastAsia="zh-CN"/>
        </w:rPr>
        <w:t>0.5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万元的违约金，违约金不足以弥补委托人损失的，监理人应当负责补足。</w:t>
      </w:r>
    </w:p>
    <w:p w14:paraId="09970911">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若因监理人不认真审核竣工图纸，出现竣工图纸与实际施工内容不相符合的情况，监理人应根据具体情况向委托人支付</w:t>
      </w:r>
      <w:r>
        <w:rPr>
          <w:rFonts w:hint="eastAsia" w:ascii="宋体" w:hAnsi="宋体" w:eastAsia="宋体" w:cs="宋体"/>
          <w:color w:val="auto"/>
          <w:sz w:val="21"/>
          <w:szCs w:val="21"/>
          <w:highlight w:val="none"/>
          <w:lang w:val="en-US" w:eastAsia="zh-CN"/>
        </w:rPr>
        <w:t>0.5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万元的违约金，违约金不足以弥补委托人损失的，监理人还应负责补足。</w:t>
      </w:r>
    </w:p>
    <w:p w14:paraId="59E2467C">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若监理人在履行监理职责时未尽职尽责而致使工程施工中发生安全事故，除应向委托人支付1～</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万元的违约金外，还应自行承担相应的法律责任。</w:t>
      </w:r>
    </w:p>
    <w:p w14:paraId="0BD620EE">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施工前对施工区域现状进行航拍；施工期间对隐蔽工程及重要节点的施工过程进行跟踪拍摄；施工完成后对提升效果进行拍摄。拍摄区域根据施工分期进行编号，各施工区域施工前、过程中和施工完成后的影像资料应对应，便于比对。拍摄的影像资料应根据施工顺序进行拍摄，如未能按照要求进行拍摄，将处以该施工区域工程造价1%的罚款。</w:t>
      </w:r>
    </w:p>
    <w:p w14:paraId="1D636900">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在卫生防疫期间，监理人应采取卫生防疫措施，遵守国家及地方相关规定，总监协助建设单位开展日常检查督促工作，并督促项目监理人员落实疫情防控措施。</w:t>
      </w:r>
    </w:p>
    <w:p w14:paraId="4FE098D6">
      <w:pPr>
        <w:keepNext w:val="0"/>
        <w:keepLines w:val="0"/>
        <w:pageBreakBefore w:val="0"/>
        <w:kinsoku/>
        <w:wordWrap/>
        <w:overflowPunct/>
        <w:topLinePunct w:val="0"/>
        <w:autoSpaceDE/>
        <w:autoSpaceDN/>
        <w:bidi w:val="0"/>
        <w:adjustRightInd/>
        <w:snapToGrid/>
        <w:spacing w:line="348"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本合同项下所述委托人损失均包括但不限于第三方索赔、律师费、诉讼费、保全费、公告费等费用。</w:t>
      </w:r>
    </w:p>
    <w:p w14:paraId="15339070">
      <w:pPr>
        <w:keepNext w:val="0"/>
        <w:keepLines w:val="0"/>
        <w:pageBreakBefore w:val="0"/>
        <w:kinsoku/>
        <w:wordWrap/>
        <w:overflowPunct/>
        <w:topLinePunct w:val="0"/>
        <w:autoSpaceDE/>
        <w:autoSpaceDN/>
        <w:bidi w:val="0"/>
        <w:adjustRightInd/>
        <w:snapToGrid/>
        <w:spacing w:line="348"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w:t>
      </w: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本合同项下所述委托人应承担的违约金、赔偿金不足以弥补委托人损失时，监理人应弥补委托人全部损失。</w:t>
      </w:r>
    </w:p>
    <w:p w14:paraId="022D1DB9">
      <w:pPr>
        <w:keepNext w:val="0"/>
        <w:keepLines w:val="0"/>
        <w:pageBreakBefore w:val="0"/>
        <w:kinsoku/>
        <w:wordWrap/>
        <w:overflowPunct/>
        <w:topLinePunct w:val="0"/>
        <w:autoSpaceDE/>
        <w:autoSpaceDN/>
        <w:bidi w:val="0"/>
        <w:adjustRightInd/>
        <w:snapToGrid/>
        <w:spacing w:line="348"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w:t>
      </w: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 xml:space="preserve"> 本合同项下如未对监理人违约责任承担比例/金额作出具体约定，委托人可根据违约情形要求监理人在合同总价1%-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0%范围内支付违约金。</w:t>
      </w:r>
    </w:p>
    <w:p w14:paraId="0A36274E">
      <w:pPr>
        <w:keepNext w:val="0"/>
        <w:keepLines w:val="0"/>
        <w:pageBreakBefore w:val="0"/>
        <w:kinsoku/>
        <w:wordWrap/>
        <w:overflowPunct/>
        <w:topLinePunct w:val="0"/>
        <w:autoSpaceDE/>
        <w:autoSpaceDN/>
        <w:bidi w:val="0"/>
        <w:adjustRightInd/>
        <w:snapToGrid/>
        <w:spacing w:line="348"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w:t>
      </w: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 xml:space="preserve"> 本合同项下如对同一违约行为作出两种及以上的违约责任约定，在监理人出现该违约行为时，委托人可以赔偿数额最高的方式进行主张，监理人同意并认可。</w:t>
      </w:r>
    </w:p>
    <w:p w14:paraId="10D5738F">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ascii="宋体" w:hAnsi="宋体" w:cs="宋体"/>
          <w:color w:val="auto"/>
          <w:sz w:val="21"/>
          <w:szCs w:val="21"/>
          <w:highlight w:val="none"/>
          <w:lang w:val="en-US" w:eastAsia="zh-CN"/>
        </w:rPr>
        <w:t>29</w:t>
      </w:r>
      <w:r>
        <w:rPr>
          <w:rFonts w:hint="eastAsia" w:ascii="宋体" w:hAnsi="宋体" w:eastAsia="宋体" w:cs="宋体"/>
          <w:color w:val="auto"/>
          <w:sz w:val="21"/>
          <w:szCs w:val="21"/>
          <w:highlight w:val="none"/>
        </w:rPr>
        <w:t>本合同未尽事宜，双方另行协商解决。</w:t>
      </w:r>
    </w:p>
    <w:p w14:paraId="36CDD09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1FF5FF54">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附件1  项目总监委托书</w:t>
      </w:r>
    </w:p>
    <w:p w14:paraId="1F965979">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附件2  建设工程廉政合同</w:t>
      </w:r>
    </w:p>
    <w:p w14:paraId="2E07AD4F">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附件3  安全监理责任合同 </w:t>
      </w:r>
    </w:p>
    <w:p w14:paraId="47710AE8">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附件4  本项目监理人员汇总表</w:t>
      </w:r>
    </w:p>
    <w:p w14:paraId="102C94ED">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z w:val="21"/>
          <w:szCs w:val="21"/>
          <w:highlight w:val="none"/>
        </w:rPr>
        <w:t>附件1 ：</w:t>
      </w:r>
      <w:r>
        <w:rPr>
          <w:rFonts w:hint="eastAsia" w:ascii="宋体" w:hAnsi="宋体" w:eastAsia="宋体" w:cs="宋体"/>
          <w:color w:val="auto"/>
          <w:sz w:val="21"/>
          <w:szCs w:val="21"/>
          <w:highlight w:val="none"/>
        </w:rPr>
        <w:t xml:space="preserve">           </w:t>
      </w:r>
    </w:p>
    <w:p w14:paraId="2D7090CD">
      <w:pPr>
        <w:spacing w:line="360" w:lineRule="auto"/>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项目总监委托书</w:t>
      </w:r>
    </w:p>
    <w:p w14:paraId="1110FA47">
      <w:pPr>
        <w:spacing w:line="360" w:lineRule="auto"/>
        <w:ind w:firstLine="420" w:firstLineChars="200"/>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lang w:val="en-US" w:eastAsia="zh-CN"/>
        </w:rPr>
        <w:t>（采购人名称）</w:t>
      </w:r>
    </w:p>
    <w:p w14:paraId="4E47629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项目名称</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rPr>
        <w:t>的要求，现委托我公司</w:t>
      </w:r>
      <w:r>
        <w:rPr>
          <w:rFonts w:hint="eastAsia" w:ascii="宋体" w:hAnsi="宋体" w:eastAsia="宋体" w:cs="宋体"/>
          <w:color w:val="auto"/>
          <w:sz w:val="21"/>
          <w:szCs w:val="21"/>
          <w:highlight w:val="none"/>
          <w:u w:val="single"/>
          <w:lang w:val="en-US" w:eastAsia="zh-CN"/>
        </w:rPr>
        <w:t xml:space="preserve"> （总监名称） </w:t>
      </w:r>
      <w:r>
        <w:rPr>
          <w:rFonts w:hint="eastAsia" w:ascii="宋体" w:hAnsi="宋体" w:eastAsia="宋体" w:cs="宋体"/>
          <w:color w:val="auto"/>
          <w:sz w:val="21"/>
          <w:szCs w:val="21"/>
          <w:highlight w:val="none"/>
        </w:rPr>
        <w:t>同志为我公司中标项目</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项目名称</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rPr>
        <w:t>的总监理工程师，并负责处理该工程总监需办理一切监理工作。</w:t>
      </w:r>
    </w:p>
    <w:p w14:paraId="058E16F1">
      <w:pPr>
        <w:spacing w:line="360" w:lineRule="auto"/>
        <w:ind w:firstLine="420" w:firstLineChars="200"/>
        <w:rPr>
          <w:rFonts w:hint="eastAsia" w:ascii="宋体" w:hAnsi="宋体" w:eastAsia="宋体" w:cs="宋体"/>
          <w:color w:val="auto"/>
          <w:sz w:val="21"/>
          <w:szCs w:val="21"/>
          <w:highlight w:val="none"/>
        </w:rPr>
      </w:pPr>
    </w:p>
    <w:p w14:paraId="3D6D060F">
      <w:pPr>
        <w:spacing w:line="360" w:lineRule="auto"/>
        <w:ind w:firstLine="420" w:firstLineChars="200"/>
        <w:rPr>
          <w:rFonts w:hint="eastAsia" w:ascii="宋体" w:hAnsi="宋体" w:eastAsia="宋体" w:cs="宋体"/>
          <w:color w:val="auto"/>
          <w:sz w:val="21"/>
          <w:szCs w:val="21"/>
          <w:highlight w:val="none"/>
        </w:rPr>
      </w:pPr>
    </w:p>
    <w:p w14:paraId="21014236">
      <w:pPr>
        <w:spacing w:line="360" w:lineRule="auto"/>
        <w:ind w:firstLine="420" w:firstLineChars="200"/>
        <w:rPr>
          <w:rFonts w:hint="eastAsia" w:ascii="宋体" w:hAnsi="宋体" w:eastAsia="宋体" w:cs="宋体"/>
          <w:color w:val="auto"/>
          <w:sz w:val="21"/>
          <w:szCs w:val="21"/>
          <w:highlight w:val="none"/>
        </w:rPr>
      </w:pPr>
    </w:p>
    <w:p w14:paraId="255FF13C">
      <w:pPr>
        <w:snapToGrid w:val="0"/>
        <w:spacing w:before="156" w:beforeLines="50" w:after="156" w:afterLines="5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监理人：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（公章）</w:t>
      </w:r>
    </w:p>
    <w:p w14:paraId="62DEE08D">
      <w:pPr>
        <w:snapToGrid w:val="0"/>
        <w:spacing w:before="156" w:beforeLines="50" w:after="156" w:afterLines="50"/>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rPr>
        <w:t>监理单位法人代表或授权委托人：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签字或盖章</w:t>
      </w:r>
      <w:r>
        <w:rPr>
          <w:rFonts w:hint="eastAsia" w:ascii="宋体" w:hAnsi="宋体" w:eastAsia="宋体" w:cs="宋体"/>
          <w:color w:val="auto"/>
          <w:kern w:val="0"/>
          <w:szCs w:val="21"/>
          <w:highlight w:val="none"/>
          <w:u w:val="none"/>
          <w:lang w:eastAsia="zh-CN"/>
        </w:rPr>
        <w:t>）</w:t>
      </w:r>
    </w:p>
    <w:p w14:paraId="0E9E39D9">
      <w:pPr>
        <w:snapToGrid w:val="0"/>
        <w:spacing w:before="156" w:beforeLines="50" w:after="156" w:afterLines="5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   年   月   日</w:t>
      </w:r>
    </w:p>
    <w:p w14:paraId="52785EE8">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z w:val="21"/>
          <w:szCs w:val="21"/>
          <w:highlight w:val="none"/>
        </w:rPr>
        <w:t>附件2 ：</w:t>
      </w:r>
      <w:r>
        <w:rPr>
          <w:rFonts w:hint="eastAsia" w:ascii="宋体" w:hAnsi="宋体" w:eastAsia="宋体" w:cs="宋体"/>
          <w:color w:val="auto"/>
          <w:sz w:val="21"/>
          <w:szCs w:val="21"/>
          <w:highlight w:val="none"/>
        </w:rPr>
        <w:t xml:space="preserve">       </w:t>
      </w:r>
    </w:p>
    <w:p w14:paraId="468092FD">
      <w:pPr>
        <w:snapToGrid w:val="0"/>
        <w:spacing w:before="156" w:beforeLines="50" w:after="156" w:afterLines="50"/>
        <w:jc w:val="center"/>
        <w:rPr>
          <w:rFonts w:hint="eastAsia" w:ascii="宋体" w:hAnsi="宋体" w:eastAsia="宋体" w:cs="宋体"/>
          <w:color w:val="auto"/>
          <w:kern w:val="0"/>
          <w:szCs w:val="21"/>
          <w:highlight w:val="none"/>
        </w:rPr>
      </w:pPr>
      <w:r>
        <w:rPr>
          <w:rFonts w:hint="eastAsia" w:ascii="宋体" w:hAnsi="宋体" w:eastAsia="宋体" w:cs="宋体"/>
          <w:b/>
          <w:bCs/>
          <w:color w:val="auto"/>
          <w:szCs w:val="21"/>
          <w:highlight w:val="none"/>
        </w:rPr>
        <w:t>建设工程廉政协议书</w:t>
      </w:r>
    </w:p>
    <w:p w14:paraId="55158B36">
      <w:pPr>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根据有关工程建设、廉政建设条规，为做好工程建设中的党风廉政建设，保证工程建设高效优质，保证建设资金的安全和有效使用以及投资效益，</w:t>
      </w:r>
      <w:r>
        <w:rPr>
          <w:rFonts w:hint="eastAsia" w:ascii="宋体" w:hAnsi="宋体" w:eastAsia="宋体" w:cs="宋体"/>
          <w:color w:val="auto"/>
          <w:kern w:val="0"/>
          <w:sz w:val="21"/>
          <w:szCs w:val="21"/>
          <w:highlight w:val="none"/>
          <w:u w:val="single"/>
        </w:rPr>
        <w:t xml:space="preserve"> （以下称委托人）</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u w:val="single"/>
        </w:rPr>
        <w:t xml:space="preserve"> （以下称代建人）</w:t>
      </w:r>
      <w:r>
        <w:rPr>
          <w:rFonts w:hint="eastAsia" w:ascii="宋体" w:hAnsi="宋体" w:eastAsia="宋体" w:cs="宋体"/>
          <w:color w:val="auto"/>
          <w:kern w:val="0"/>
          <w:sz w:val="21"/>
          <w:szCs w:val="21"/>
          <w:highlight w:val="none"/>
        </w:rPr>
        <w:t>与</w:t>
      </w:r>
      <w:r>
        <w:rPr>
          <w:rFonts w:hint="eastAsia" w:ascii="宋体" w:hAnsi="宋体" w:eastAsia="宋体" w:cs="宋体"/>
          <w:color w:val="auto"/>
          <w:kern w:val="0"/>
          <w:sz w:val="21"/>
          <w:szCs w:val="21"/>
          <w:highlight w:val="none"/>
          <w:u w:val="single"/>
        </w:rPr>
        <w:t xml:space="preserve">  （以下称监理人）   </w:t>
      </w:r>
      <w:r>
        <w:rPr>
          <w:rFonts w:hint="eastAsia" w:ascii="宋体" w:hAnsi="宋体" w:eastAsia="宋体" w:cs="宋体"/>
          <w:color w:val="auto"/>
          <w:kern w:val="0"/>
          <w:sz w:val="21"/>
          <w:szCs w:val="21"/>
          <w:highlight w:val="none"/>
        </w:rPr>
        <w:t>特订立如下廉政协议书。</w:t>
      </w:r>
    </w:p>
    <w:p w14:paraId="3797D91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第一条  双方的权利和义务</w:t>
      </w:r>
    </w:p>
    <w:p w14:paraId="20D11FD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（一）严格遵守党和国家有关法律法规的相关廉政规定。</w:t>
      </w:r>
    </w:p>
    <w:p w14:paraId="552078D9">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（二）严格执行</w:t>
      </w:r>
      <w:r>
        <w:rPr>
          <w:rFonts w:hint="eastAsia" w:ascii="宋体" w:hAnsi="宋体" w:eastAsia="宋体" w:cs="宋体"/>
          <w:color w:val="auto"/>
          <w:kern w:val="0"/>
          <w:sz w:val="21"/>
          <w:szCs w:val="21"/>
          <w:highlight w:val="none"/>
          <w:u w:val="single"/>
        </w:rPr>
        <w:t xml:space="preserve">   （项目名称）项目工程监理 </w:t>
      </w:r>
      <w:r>
        <w:rPr>
          <w:rFonts w:hint="eastAsia" w:ascii="宋体" w:hAnsi="宋体" w:eastAsia="宋体" w:cs="宋体"/>
          <w:color w:val="auto"/>
          <w:kern w:val="0"/>
          <w:sz w:val="21"/>
          <w:szCs w:val="21"/>
          <w:highlight w:val="none"/>
        </w:rPr>
        <w:t>合同文件，自觉按合同办事。</w:t>
      </w:r>
    </w:p>
    <w:p w14:paraId="30B41BB9">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（三）双方的业务活动坚持公开、公正、诚信、透明的原则(除法律认定的商业秘密和合同文件另有规定之外)，不得损害国家和双方利益，不得违反工程建设管理规章制度。</w:t>
      </w:r>
    </w:p>
    <w:p w14:paraId="2967098F">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（四）建立健全廉政制度，开展廉政教育，设立廉政告示牌，公布举报电话，监督并认真查处违法违纪行为。</w:t>
      </w:r>
    </w:p>
    <w:p w14:paraId="17942BBC">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（五）发现对方在合同履行中有违反廉政规定的行为，有及时提醒对方纠正的权利和义务。</w:t>
      </w:r>
    </w:p>
    <w:p w14:paraId="5DBA2F9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（六）发现对方严重违反本协议义务条款的行为，有向其上级有关部门举报、建议给予处理并要求告知处理结果的权利。</w:t>
      </w:r>
    </w:p>
    <w:p w14:paraId="526B4FFE">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第二条  委托人的义务</w:t>
      </w:r>
    </w:p>
    <w:p w14:paraId="0596E7AE">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（一）委托人及其工作人员不得索要或接受监理人的礼金、有价证券和贵重物品，不得在监理人报销任何应由委托人或个人支付的费用。</w:t>
      </w:r>
    </w:p>
    <w:p w14:paraId="2E345B2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（二）委托人工作人员不得参加监理人安排的高消费宴请和娱乐活动；不得接受监理人提供的通讯工具、交通工具和高档办公用品。</w:t>
      </w:r>
    </w:p>
    <w:p w14:paraId="17D730B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（三）委托人及其工作人员不得要求或者接受监理人为其住房装修、婚丧嫁娶活动、配偶子女的工作安排以及出国出境、旅游等提供方便。</w:t>
      </w:r>
    </w:p>
    <w:p w14:paraId="34E5FC90">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（四）委托人工作人员的配偶、子女及亲属不得从事与委托人工程有关的监理分包项目。</w:t>
      </w:r>
    </w:p>
    <w:p w14:paraId="7D0C7D6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第三条  监理人义务</w:t>
      </w:r>
    </w:p>
    <w:p w14:paraId="495215A9">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（一）监理人不得以任何理由向委托人及其工作人员馈赠礼金、有价证券、贵重礼品。</w:t>
      </w:r>
    </w:p>
    <w:p w14:paraId="5ED663C0">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（二）监理人不得以任何名义为委托人及其工作人员报销应由委托人或个人支付的任何费用。</w:t>
      </w:r>
    </w:p>
    <w:p w14:paraId="459CDD54">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（三）监理人不得以任何理由安排委托人工作人员参加高消费宴请及娱乐活动。</w:t>
      </w:r>
    </w:p>
    <w:p w14:paraId="3E8807C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（四）监理人不得为委托人和个人购置或提供通讯工具、交通工具和高档办公用品等。</w:t>
      </w:r>
    </w:p>
    <w:p w14:paraId="4839875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（五）监理人及其工作人员不得索取或接受承包人的礼金、有价证券和贵重物品，不得在承包人报销任何应由监理人或个人支付的费用。</w:t>
      </w:r>
    </w:p>
    <w:p w14:paraId="0106FB5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（六）监理人及其工作人员不得要求和接受承包人为其住房装修、婚丧嫁娶活动、配偶子女的工作安排以及出国出境、旅游等提供方便。</w:t>
      </w:r>
    </w:p>
    <w:p w14:paraId="33154F9F">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（七）监理人及其工作人员不得参与承包人安排的高消费宴请和娱乐活动；不得接受承包人提供的通讯工具、交通工具和高档办公用品。</w:t>
      </w:r>
    </w:p>
    <w:p w14:paraId="4FF945BB">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第四条  违约责任</w:t>
      </w:r>
    </w:p>
    <w:p w14:paraId="7D7D2E3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（一）委托人及其工作人员违反本合同第一、二条，按管理权限，依据有关规定给予党纪、政纪或组织处理；涉嫌犯罪的，移交司法机关追究刑事责任；给监理人单位造成经济损失的，应予以赔偿。</w:t>
      </w:r>
    </w:p>
    <w:p w14:paraId="2CEE915F">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及其工作人员违反本合同第一、三条，按管理权限，依据有关规定，给予党纪、政纪或组织处理；给委托人单位造成经济损失的，应予以赔偿；情节严重的，委托人建议工程建设主管部门给予监理人一至三年内不得进入其主管的工程建设市场的处罚。</w:t>
      </w:r>
    </w:p>
    <w:p w14:paraId="2301398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第五条  双方约定</w:t>
      </w:r>
    </w:p>
    <w:p w14:paraId="326F4417">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协议由双方或双方上级单位的纪检监察机关负责监督执行。由委托人或委托人上级单位的纪检监察机关约请监理人或监理人上级单位纪检监察机关对本协议执行情况进行检查；提出在本协议规定范围内的裁定意见。</w:t>
      </w:r>
    </w:p>
    <w:p w14:paraId="39C54DE9">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第六条  本协议有效期</w:t>
      </w:r>
    </w:p>
    <w:p w14:paraId="10E6B170">
      <w:pPr>
        <w:spacing w:line="360" w:lineRule="auto"/>
        <w:ind w:firstLine="420" w:firstLineChars="200"/>
        <w:outlineLvl w:val="3"/>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本协议有效期为委托人及监理人双方签署之日起至该工程项目竣工验收后止。</w:t>
      </w:r>
    </w:p>
    <w:p w14:paraId="1F35D2B3">
      <w:pPr>
        <w:spacing w:line="360" w:lineRule="auto"/>
        <w:ind w:firstLine="420" w:firstLineChars="200"/>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第七条  本合同一式捌份，甲、乙双方各执肆份。</w:t>
      </w:r>
    </w:p>
    <w:tbl>
      <w:tblPr>
        <w:tblStyle w:val="5"/>
        <w:tblW w:w="9879" w:type="dxa"/>
        <w:tblInd w:w="-252" w:type="dxa"/>
        <w:tblLayout w:type="fixed"/>
        <w:tblCellMar>
          <w:top w:w="0" w:type="dxa"/>
          <w:left w:w="108" w:type="dxa"/>
          <w:bottom w:w="0" w:type="dxa"/>
          <w:right w:w="108" w:type="dxa"/>
        </w:tblCellMar>
      </w:tblPr>
      <w:tblGrid>
        <w:gridCol w:w="4916"/>
        <w:gridCol w:w="4963"/>
      </w:tblGrid>
      <w:tr w14:paraId="4AC070CD">
        <w:tblPrEx>
          <w:tblCellMar>
            <w:top w:w="0" w:type="dxa"/>
            <w:left w:w="108" w:type="dxa"/>
            <w:bottom w:w="0" w:type="dxa"/>
            <w:right w:w="108" w:type="dxa"/>
          </w:tblCellMar>
        </w:tblPrEx>
        <w:tc>
          <w:tcPr>
            <w:tcW w:w="4916" w:type="dxa"/>
          </w:tcPr>
          <w:p w14:paraId="15CE497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w:t>
            </w:r>
          </w:p>
          <w:p w14:paraId="436805B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69F974F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（签字） </w:t>
            </w:r>
          </w:p>
          <w:p w14:paraId="7D4D1EAF">
            <w:pPr>
              <w:spacing w:line="360" w:lineRule="auto"/>
              <w:ind w:firstLine="420" w:firstLineChars="200"/>
              <w:rPr>
                <w:rFonts w:hint="eastAsia" w:ascii="宋体" w:hAnsi="宋体" w:eastAsia="宋体" w:cs="宋体"/>
                <w:color w:val="auto"/>
                <w:sz w:val="21"/>
                <w:szCs w:val="21"/>
                <w:highlight w:val="none"/>
              </w:rPr>
            </w:pPr>
          </w:p>
        </w:tc>
        <w:tc>
          <w:tcPr>
            <w:tcW w:w="4963" w:type="dxa"/>
          </w:tcPr>
          <w:p w14:paraId="1A24C8B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乙方： </w:t>
            </w:r>
          </w:p>
          <w:p w14:paraId="75D64C6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0AFA7C1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（签字） </w:t>
            </w:r>
          </w:p>
          <w:p w14:paraId="5E6C947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签订日期：    年  月  日</w:t>
            </w:r>
          </w:p>
        </w:tc>
      </w:tr>
    </w:tbl>
    <w:p w14:paraId="17B6BF56">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z w:val="21"/>
          <w:szCs w:val="21"/>
          <w:highlight w:val="none"/>
        </w:rPr>
        <w:t xml:space="preserve">附件3：   </w:t>
      </w:r>
      <w:r>
        <w:rPr>
          <w:rFonts w:hint="eastAsia" w:ascii="宋体" w:hAnsi="宋体" w:eastAsia="宋体" w:cs="宋体"/>
          <w:color w:val="auto"/>
          <w:sz w:val="21"/>
          <w:szCs w:val="21"/>
          <w:highlight w:val="none"/>
        </w:rPr>
        <w:t xml:space="preserve">          </w:t>
      </w:r>
    </w:p>
    <w:p w14:paraId="24D95949">
      <w:pPr>
        <w:spacing w:line="360" w:lineRule="auto"/>
        <w:ind w:left="0" w:lef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安全监理责任合同</w:t>
      </w:r>
    </w:p>
    <w:p w14:paraId="5A25A114">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根据国务院《建设工程安全生产管理条例》，为在本项目工程监理服务合同的实施过程中切实搞好本工程的安全生产管理工作，</w:t>
      </w:r>
      <w:r>
        <w:rPr>
          <w:rFonts w:hint="eastAsia" w:ascii="宋体" w:hAnsi="宋体" w:eastAsia="宋体" w:cs="宋体"/>
          <w:color w:val="auto"/>
          <w:kern w:val="0"/>
          <w:sz w:val="21"/>
          <w:szCs w:val="21"/>
          <w:highlight w:val="none"/>
          <w:u w:val="single"/>
        </w:rPr>
        <w:t xml:space="preserve">  （以下简称“委托人”）</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u w:val="single"/>
        </w:rPr>
        <w:t xml:space="preserve"> （以下称代建人）</w:t>
      </w:r>
      <w:r>
        <w:rPr>
          <w:rFonts w:hint="eastAsia" w:ascii="宋体" w:hAnsi="宋体" w:eastAsia="宋体" w:cs="宋体"/>
          <w:color w:val="auto"/>
          <w:kern w:val="0"/>
          <w:sz w:val="21"/>
          <w:szCs w:val="21"/>
          <w:highlight w:val="none"/>
        </w:rPr>
        <w:t>与</w:t>
      </w:r>
      <w:r>
        <w:rPr>
          <w:rFonts w:hint="eastAsia" w:ascii="宋体" w:hAnsi="宋体" w:eastAsia="宋体" w:cs="宋体"/>
          <w:color w:val="auto"/>
          <w:kern w:val="0"/>
          <w:sz w:val="21"/>
          <w:szCs w:val="21"/>
          <w:highlight w:val="none"/>
          <w:u w:val="single"/>
        </w:rPr>
        <w:t xml:space="preserve"> （以下简称“监理人”）</w:t>
      </w:r>
      <w:r>
        <w:rPr>
          <w:rFonts w:hint="eastAsia" w:ascii="宋体" w:hAnsi="宋体" w:eastAsia="宋体" w:cs="宋体"/>
          <w:color w:val="auto"/>
          <w:kern w:val="0"/>
          <w:sz w:val="21"/>
          <w:szCs w:val="21"/>
          <w:highlight w:val="none"/>
        </w:rPr>
        <w:t>签订如下安全监理责任协议书：</w:t>
      </w:r>
    </w:p>
    <w:p w14:paraId="5B29FCDF">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一、委托人职责</w:t>
      </w:r>
    </w:p>
    <w:p w14:paraId="765F43EE">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1．严格遵守国家有关安全生产的法律法规，支持监理人按条例要求对规定的施工安全实施监理。</w:t>
      </w:r>
    </w:p>
    <w:p w14:paraId="08BFE439">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2．按照“安全第一、预防为主”和坚持“管生产必须管安全”的原则进行安全生产管理，做到生产与安全工作同时计划、布置、检查、总结和评比。</w:t>
      </w:r>
    </w:p>
    <w:p w14:paraId="42C30F3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3．重要的安全设施必须坚持与主体工程“三同时”的原则，即：同时设计、审批，同时施工，同时验收，投入使用。</w:t>
      </w:r>
    </w:p>
    <w:p w14:paraId="7AB70D1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4．定期召开安全生产调度会，及时传达中央及地方有关安全生产的精神。</w:t>
      </w:r>
    </w:p>
    <w:p w14:paraId="5DDFD78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5．组织对施工现场的安全生产检查，监督承包人及时处理发现的各项安全隐患。</w:t>
      </w:r>
    </w:p>
    <w:p w14:paraId="6C49018B">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二、监理人职责</w:t>
      </w:r>
    </w:p>
    <w:p w14:paraId="172A0960">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1．督促承包人严格遵守国家有关安全生产的法律法规规定，认真执行工程承包合同中的有关安全要求。</w:t>
      </w:r>
    </w:p>
    <w:p w14:paraId="5ADFD06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坚持“安全第一、预防为主”和“管生产必须管安全”的原则，督促承包人加强安全生产宣传教育，增强全员安全生产意识，建立健全各项安全生产的管理机构和安全生产管理制度，配备专职及兼职安全检查人员，有组织有领导地开展安全生产活动。</w:t>
      </w:r>
    </w:p>
    <w:p w14:paraId="07A3131C">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建立健全安全监理制度，加强安全知识教育培训，明确各岗位监理人员的安全监理职责，增强安全意识。</w:t>
      </w:r>
    </w:p>
    <w:p w14:paraId="100647B7">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4．在审查施工组织设计的同时，要同步审查施工组织设计中的安全技术措施，审查专项施工方案是否符合工程建设强制性标准。</w:t>
      </w:r>
    </w:p>
    <w:p w14:paraId="2E4B07F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在实施监理过程中，发现存在安全事故隐患的，应立即要求承包人整改；情况严重的，应立即要求承包人停止施工，并及时报告建设单位。承包人拒不整改或不停止施工的，监理人应及时向有关主管部门报告。</w:t>
      </w:r>
    </w:p>
    <w:p w14:paraId="66AB5321">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6．监理人及其监理工程师应当按照法律、法规和工程建设强制性标准实施监理，并对建设工程安全生产承担监理责任。</w:t>
      </w:r>
    </w:p>
    <w:p w14:paraId="60950B7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监理人应督促承包人按照本工程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7D652BB4">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三、违约责任</w:t>
      </w:r>
    </w:p>
    <w:p w14:paraId="1D114F6C">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违反本协议的约定，除另有约定外，委托人有权根据违约情形要求监理人支付5-30万元违约金；同时，委托人也有权要求解除监理合同，要求监理人按照监理合同价款的30%向委托人支付违约金；因此给委托人造成的损失（包括直接、间接损失、诉讼费、律师费、保全费、保函费以及其他实现债权的费用等）数额高于前述违约金的数额，应按照损失数额赔偿。</w:t>
      </w:r>
    </w:p>
    <w:p w14:paraId="5739D38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四、其他</w:t>
      </w:r>
    </w:p>
    <w:p w14:paraId="445E3A90">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本合同自双方盖章（公章或合同章）及法定代表人或授权委托人</w:t>
      </w:r>
      <w:r>
        <w:rPr>
          <w:rFonts w:hint="eastAsia" w:ascii="宋体" w:hAnsi="宋体" w:eastAsia="宋体" w:cs="宋体"/>
          <w:color w:val="auto"/>
          <w:sz w:val="21"/>
          <w:szCs w:val="21"/>
          <w:highlight w:val="none"/>
        </w:rPr>
        <w:t>（需有授权委托书）</w:t>
      </w:r>
      <w:r>
        <w:rPr>
          <w:rFonts w:hint="eastAsia" w:ascii="宋体" w:hAnsi="宋体" w:eastAsia="宋体" w:cs="宋体"/>
          <w:bCs/>
          <w:color w:val="auto"/>
          <w:sz w:val="21"/>
          <w:szCs w:val="21"/>
          <w:highlight w:val="none"/>
        </w:rPr>
        <w:t>签字或盖章之日起生效</w:t>
      </w:r>
      <w:r>
        <w:rPr>
          <w:rFonts w:hint="eastAsia" w:ascii="宋体" w:hAnsi="宋体" w:eastAsia="宋体" w:cs="宋体"/>
          <w:color w:val="auto"/>
          <w:kern w:val="0"/>
          <w:sz w:val="21"/>
          <w:szCs w:val="21"/>
          <w:highlight w:val="none"/>
        </w:rPr>
        <w:t>，全部工程竣工验收后终止</w:t>
      </w:r>
      <w:r>
        <w:rPr>
          <w:rFonts w:hint="eastAsia" w:ascii="宋体" w:hAnsi="宋体" w:eastAsia="宋体" w:cs="宋体"/>
          <w:color w:val="auto"/>
          <w:sz w:val="21"/>
          <w:szCs w:val="21"/>
          <w:highlight w:val="none"/>
        </w:rPr>
        <w:t>。</w:t>
      </w:r>
    </w:p>
    <w:p w14:paraId="40950DF8">
      <w:pPr>
        <w:spacing w:line="360" w:lineRule="auto"/>
        <w:ind w:firstLine="420" w:firstLineChars="200"/>
        <w:rPr>
          <w:rFonts w:hint="eastAsia" w:ascii="宋体" w:hAnsi="宋体" w:eastAsia="宋体" w:cs="宋体"/>
          <w:color w:val="auto"/>
          <w:sz w:val="21"/>
          <w:szCs w:val="21"/>
          <w:highlight w:val="none"/>
        </w:rPr>
      </w:pPr>
    </w:p>
    <w:tbl>
      <w:tblPr>
        <w:tblStyle w:val="5"/>
        <w:tblW w:w="9776" w:type="dxa"/>
        <w:tblInd w:w="-252" w:type="dxa"/>
        <w:tblLayout w:type="fixed"/>
        <w:tblCellMar>
          <w:top w:w="0" w:type="dxa"/>
          <w:left w:w="108" w:type="dxa"/>
          <w:bottom w:w="0" w:type="dxa"/>
          <w:right w:w="108" w:type="dxa"/>
        </w:tblCellMar>
      </w:tblPr>
      <w:tblGrid>
        <w:gridCol w:w="4680"/>
        <w:gridCol w:w="5096"/>
      </w:tblGrid>
      <w:tr w14:paraId="6FFE5609">
        <w:tblPrEx>
          <w:tblCellMar>
            <w:top w:w="0" w:type="dxa"/>
            <w:left w:w="108" w:type="dxa"/>
            <w:bottom w:w="0" w:type="dxa"/>
            <w:right w:w="108" w:type="dxa"/>
          </w:tblCellMar>
        </w:tblPrEx>
        <w:tc>
          <w:tcPr>
            <w:tcW w:w="4680" w:type="dxa"/>
          </w:tcPr>
          <w:p w14:paraId="13CD271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甲方： </w:t>
            </w:r>
          </w:p>
          <w:p w14:paraId="01F1D9D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2F350FD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w:t>
            </w:r>
          </w:p>
          <w:p w14:paraId="3E13C78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14:paraId="39C90D5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16CB3DB3">
            <w:pPr>
              <w:spacing w:line="360" w:lineRule="auto"/>
              <w:ind w:firstLine="420" w:firstLineChars="200"/>
              <w:rPr>
                <w:rFonts w:hint="eastAsia" w:ascii="宋体" w:hAnsi="宋体" w:eastAsia="宋体" w:cs="宋体"/>
                <w:color w:val="auto"/>
                <w:sz w:val="21"/>
                <w:szCs w:val="21"/>
                <w:highlight w:val="none"/>
              </w:rPr>
            </w:pPr>
          </w:p>
        </w:tc>
        <w:tc>
          <w:tcPr>
            <w:tcW w:w="5096" w:type="dxa"/>
          </w:tcPr>
          <w:p w14:paraId="67FD840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乙方：  </w:t>
            </w:r>
          </w:p>
          <w:p w14:paraId="1283886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5AFE6B2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w:t>
            </w:r>
          </w:p>
          <w:p w14:paraId="285FB44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14:paraId="62160DC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75DB034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tc>
      </w:tr>
    </w:tbl>
    <w:p w14:paraId="3442EEE6">
      <w:pPr>
        <w:spacing w:line="360" w:lineRule="auto"/>
        <w:ind w:firstLine="420" w:firstLineChars="200"/>
        <w:rPr>
          <w:rFonts w:hint="eastAsia" w:ascii="宋体" w:hAnsi="宋体" w:eastAsia="宋体" w:cs="宋体"/>
          <w:color w:val="auto"/>
          <w:sz w:val="21"/>
          <w:szCs w:val="21"/>
          <w:highlight w:val="none"/>
        </w:rPr>
        <w:sectPr>
          <w:pgSz w:w="11906" w:h="16838"/>
          <w:pgMar w:top="1276" w:right="1672" w:bottom="1276" w:left="1672" w:header="851" w:footer="686" w:gutter="0"/>
          <w:pgNumType w:fmt="decimal"/>
          <w:cols w:space="0" w:num="1"/>
          <w:rtlGutter w:val="0"/>
          <w:docGrid w:type="lines" w:linePitch="332" w:charSpace="0"/>
        </w:sectPr>
      </w:pPr>
    </w:p>
    <w:p w14:paraId="29958DC9">
      <w:pPr>
        <w:spacing w:line="360" w:lineRule="auto"/>
        <w:ind w:left="0" w:leftChars="0" w:firstLine="0" w:firstLineChars="0"/>
        <w:outlineLvl w:val="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 xml:space="preserve">附件4     </w:t>
      </w:r>
      <w:r>
        <w:rPr>
          <w:rFonts w:hint="eastAsia" w:ascii="宋体" w:hAnsi="宋体" w:eastAsia="宋体" w:cs="宋体"/>
          <w:color w:val="auto"/>
          <w:sz w:val="21"/>
          <w:szCs w:val="21"/>
          <w:highlight w:val="none"/>
        </w:rPr>
        <w:t xml:space="preserve">          </w:t>
      </w:r>
    </w:p>
    <w:p w14:paraId="525A2F04">
      <w:pPr>
        <w:spacing w:line="360" w:lineRule="auto"/>
        <w:ind w:left="0" w:leftChars="0" w:firstLine="0" w:firstLineChars="0"/>
        <w:jc w:val="center"/>
        <w:outlineLvl w:val="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本项目监理人员汇总表</w:t>
      </w:r>
    </w:p>
    <w:tbl>
      <w:tblPr>
        <w:tblStyle w:val="6"/>
        <w:tblW w:w="9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826"/>
        <w:gridCol w:w="1559"/>
        <w:gridCol w:w="2410"/>
        <w:gridCol w:w="2729"/>
      </w:tblGrid>
      <w:tr w14:paraId="79D8C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748" w:type="dxa"/>
            <w:vAlign w:val="center"/>
          </w:tcPr>
          <w:p w14:paraId="1911B5BD">
            <w:pPr>
              <w:spacing w:line="360" w:lineRule="auto"/>
              <w:ind w:left="0" w:lef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序号</w:t>
            </w:r>
          </w:p>
        </w:tc>
        <w:tc>
          <w:tcPr>
            <w:tcW w:w="1826" w:type="dxa"/>
            <w:vAlign w:val="center"/>
          </w:tcPr>
          <w:p w14:paraId="33660FA4">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岗位</w:t>
            </w:r>
          </w:p>
        </w:tc>
        <w:tc>
          <w:tcPr>
            <w:tcW w:w="1559" w:type="dxa"/>
            <w:vAlign w:val="center"/>
          </w:tcPr>
          <w:p w14:paraId="5BFC15C2">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姓名</w:t>
            </w:r>
          </w:p>
        </w:tc>
        <w:tc>
          <w:tcPr>
            <w:tcW w:w="2410" w:type="dxa"/>
            <w:vAlign w:val="center"/>
          </w:tcPr>
          <w:p w14:paraId="05B36E86">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专业</w:t>
            </w:r>
          </w:p>
        </w:tc>
        <w:tc>
          <w:tcPr>
            <w:tcW w:w="2729" w:type="dxa"/>
            <w:vAlign w:val="center"/>
          </w:tcPr>
          <w:p w14:paraId="0F5B0108">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资格证书编号</w:t>
            </w:r>
          </w:p>
        </w:tc>
      </w:tr>
      <w:tr w14:paraId="0AC7E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1B0DDF02">
            <w:pPr>
              <w:spacing w:line="360" w:lineRule="auto"/>
              <w:jc w:val="center"/>
              <w:rPr>
                <w:rFonts w:hint="eastAsia" w:ascii="宋体" w:hAnsi="宋体" w:eastAsia="宋体" w:cs="宋体"/>
                <w:color w:val="auto"/>
                <w:sz w:val="21"/>
                <w:szCs w:val="21"/>
                <w:highlight w:val="none"/>
              </w:rPr>
            </w:pPr>
          </w:p>
        </w:tc>
        <w:tc>
          <w:tcPr>
            <w:tcW w:w="1826" w:type="dxa"/>
            <w:vAlign w:val="center"/>
          </w:tcPr>
          <w:p w14:paraId="15990561">
            <w:pPr>
              <w:spacing w:line="360" w:lineRule="auto"/>
              <w:jc w:val="center"/>
              <w:rPr>
                <w:rFonts w:hint="eastAsia" w:ascii="宋体" w:hAnsi="宋体" w:eastAsia="宋体" w:cs="宋体"/>
                <w:color w:val="auto"/>
                <w:sz w:val="21"/>
                <w:szCs w:val="21"/>
                <w:highlight w:val="none"/>
              </w:rPr>
            </w:pPr>
          </w:p>
        </w:tc>
        <w:tc>
          <w:tcPr>
            <w:tcW w:w="1559" w:type="dxa"/>
            <w:vAlign w:val="center"/>
          </w:tcPr>
          <w:p w14:paraId="025BB53D">
            <w:pPr>
              <w:spacing w:line="360" w:lineRule="auto"/>
              <w:jc w:val="center"/>
              <w:rPr>
                <w:rFonts w:hint="eastAsia" w:ascii="宋体" w:hAnsi="宋体" w:eastAsia="宋体" w:cs="宋体"/>
                <w:color w:val="auto"/>
                <w:sz w:val="21"/>
                <w:szCs w:val="21"/>
                <w:highlight w:val="none"/>
              </w:rPr>
            </w:pPr>
          </w:p>
        </w:tc>
        <w:tc>
          <w:tcPr>
            <w:tcW w:w="2410" w:type="dxa"/>
            <w:vAlign w:val="center"/>
          </w:tcPr>
          <w:p w14:paraId="04DC1A4D">
            <w:pPr>
              <w:spacing w:line="360" w:lineRule="auto"/>
              <w:jc w:val="center"/>
              <w:rPr>
                <w:rFonts w:hint="eastAsia" w:ascii="宋体" w:hAnsi="宋体" w:eastAsia="宋体" w:cs="宋体"/>
                <w:color w:val="auto"/>
                <w:sz w:val="21"/>
                <w:szCs w:val="21"/>
                <w:highlight w:val="none"/>
              </w:rPr>
            </w:pPr>
          </w:p>
        </w:tc>
        <w:tc>
          <w:tcPr>
            <w:tcW w:w="2729" w:type="dxa"/>
            <w:vAlign w:val="center"/>
          </w:tcPr>
          <w:p w14:paraId="64A78E3B">
            <w:pPr>
              <w:spacing w:line="360" w:lineRule="auto"/>
              <w:jc w:val="center"/>
              <w:rPr>
                <w:rFonts w:hint="eastAsia" w:ascii="宋体" w:hAnsi="宋体" w:eastAsia="宋体" w:cs="宋体"/>
                <w:color w:val="auto"/>
                <w:sz w:val="21"/>
                <w:szCs w:val="21"/>
                <w:highlight w:val="none"/>
              </w:rPr>
            </w:pPr>
          </w:p>
        </w:tc>
      </w:tr>
      <w:tr w14:paraId="5E17A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75EBC7A">
            <w:pPr>
              <w:spacing w:line="360" w:lineRule="auto"/>
              <w:jc w:val="center"/>
              <w:rPr>
                <w:rFonts w:hint="eastAsia" w:ascii="宋体" w:hAnsi="宋体" w:eastAsia="宋体" w:cs="宋体"/>
                <w:color w:val="auto"/>
                <w:sz w:val="21"/>
                <w:szCs w:val="21"/>
                <w:highlight w:val="none"/>
              </w:rPr>
            </w:pPr>
          </w:p>
        </w:tc>
        <w:tc>
          <w:tcPr>
            <w:tcW w:w="1826" w:type="dxa"/>
            <w:vAlign w:val="center"/>
          </w:tcPr>
          <w:p w14:paraId="381D6B15">
            <w:pPr>
              <w:spacing w:line="360" w:lineRule="auto"/>
              <w:jc w:val="center"/>
              <w:rPr>
                <w:rFonts w:hint="eastAsia" w:ascii="宋体" w:hAnsi="宋体" w:eastAsia="宋体" w:cs="宋体"/>
                <w:color w:val="auto"/>
                <w:sz w:val="21"/>
                <w:szCs w:val="21"/>
                <w:highlight w:val="none"/>
              </w:rPr>
            </w:pPr>
          </w:p>
        </w:tc>
        <w:tc>
          <w:tcPr>
            <w:tcW w:w="1559" w:type="dxa"/>
            <w:vAlign w:val="center"/>
          </w:tcPr>
          <w:p w14:paraId="570344F7">
            <w:pPr>
              <w:spacing w:line="360" w:lineRule="auto"/>
              <w:jc w:val="center"/>
              <w:rPr>
                <w:rFonts w:hint="eastAsia" w:ascii="宋体" w:hAnsi="宋体" w:eastAsia="宋体" w:cs="宋体"/>
                <w:color w:val="auto"/>
                <w:sz w:val="21"/>
                <w:szCs w:val="21"/>
                <w:highlight w:val="none"/>
              </w:rPr>
            </w:pPr>
          </w:p>
        </w:tc>
        <w:tc>
          <w:tcPr>
            <w:tcW w:w="2410" w:type="dxa"/>
            <w:vAlign w:val="center"/>
          </w:tcPr>
          <w:p w14:paraId="0A1A4595">
            <w:pPr>
              <w:spacing w:line="360" w:lineRule="auto"/>
              <w:jc w:val="center"/>
              <w:rPr>
                <w:rFonts w:hint="eastAsia" w:ascii="宋体" w:hAnsi="宋体" w:eastAsia="宋体" w:cs="宋体"/>
                <w:color w:val="auto"/>
                <w:sz w:val="21"/>
                <w:szCs w:val="21"/>
                <w:highlight w:val="none"/>
              </w:rPr>
            </w:pPr>
          </w:p>
        </w:tc>
        <w:tc>
          <w:tcPr>
            <w:tcW w:w="2729" w:type="dxa"/>
            <w:vAlign w:val="center"/>
          </w:tcPr>
          <w:p w14:paraId="35B1121D">
            <w:pPr>
              <w:spacing w:line="360" w:lineRule="auto"/>
              <w:jc w:val="center"/>
              <w:rPr>
                <w:rFonts w:hint="eastAsia" w:ascii="宋体" w:hAnsi="宋体" w:eastAsia="宋体" w:cs="宋体"/>
                <w:color w:val="auto"/>
                <w:sz w:val="21"/>
                <w:szCs w:val="21"/>
                <w:highlight w:val="none"/>
              </w:rPr>
            </w:pPr>
          </w:p>
        </w:tc>
      </w:tr>
      <w:tr w14:paraId="79F8A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0CBCB256">
            <w:pPr>
              <w:spacing w:line="360" w:lineRule="auto"/>
              <w:jc w:val="center"/>
              <w:rPr>
                <w:rFonts w:hint="eastAsia" w:ascii="宋体" w:hAnsi="宋体" w:eastAsia="宋体" w:cs="宋体"/>
                <w:color w:val="auto"/>
                <w:sz w:val="21"/>
                <w:szCs w:val="21"/>
                <w:highlight w:val="none"/>
              </w:rPr>
            </w:pPr>
          </w:p>
        </w:tc>
        <w:tc>
          <w:tcPr>
            <w:tcW w:w="1826" w:type="dxa"/>
            <w:vAlign w:val="center"/>
          </w:tcPr>
          <w:p w14:paraId="2FA968B2">
            <w:pPr>
              <w:spacing w:line="360" w:lineRule="auto"/>
              <w:jc w:val="center"/>
              <w:rPr>
                <w:rFonts w:hint="eastAsia" w:ascii="宋体" w:hAnsi="宋体" w:eastAsia="宋体" w:cs="宋体"/>
                <w:color w:val="auto"/>
                <w:sz w:val="21"/>
                <w:szCs w:val="21"/>
                <w:highlight w:val="none"/>
              </w:rPr>
            </w:pPr>
          </w:p>
        </w:tc>
        <w:tc>
          <w:tcPr>
            <w:tcW w:w="1559" w:type="dxa"/>
            <w:vAlign w:val="center"/>
          </w:tcPr>
          <w:p w14:paraId="57A498E4">
            <w:pPr>
              <w:spacing w:line="360" w:lineRule="auto"/>
              <w:jc w:val="center"/>
              <w:rPr>
                <w:rFonts w:hint="eastAsia" w:ascii="宋体" w:hAnsi="宋体" w:eastAsia="宋体" w:cs="宋体"/>
                <w:color w:val="auto"/>
                <w:sz w:val="21"/>
                <w:szCs w:val="21"/>
                <w:highlight w:val="none"/>
              </w:rPr>
            </w:pPr>
          </w:p>
        </w:tc>
        <w:tc>
          <w:tcPr>
            <w:tcW w:w="2410" w:type="dxa"/>
            <w:vAlign w:val="center"/>
          </w:tcPr>
          <w:p w14:paraId="5E7CE8D1">
            <w:pPr>
              <w:spacing w:line="360" w:lineRule="auto"/>
              <w:jc w:val="center"/>
              <w:rPr>
                <w:rFonts w:hint="eastAsia" w:ascii="宋体" w:hAnsi="宋体" w:eastAsia="宋体" w:cs="宋体"/>
                <w:color w:val="auto"/>
                <w:sz w:val="21"/>
                <w:szCs w:val="21"/>
                <w:highlight w:val="none"/>
              </w:rPr>
            </w:pPr>
          </w:p>
        </w:tc>
        <w:tc>
          <w:tcPr>
            <w:tcW w:w="2729" w:type="dxa"/>
            <w:vAlign w:val="center"/>
          </w:tcPr>
          <w:p w14:paraId="44B37A4D">
            <w:pPr>
              <w:spacing w:line="360" w:lineRule="auto"/>
              <w:jc w:val="center"/>
              <w:rPr>
                <w:rFonts w:hint="eastAsia" w:ascii="宋体" w:hAnsi="宋体" w:eastAsia="宋体" w:cs="宋体"/>
                <w:color w:val="auto"/>
                <w:sz w:val="21"/>
                <w:szCs w:val="21"/>
                <w:highlight w:val="none"/>
              </w:rPr>
            </w:pPr>
          </w:p>
        </w:tc>
      </w:tr>
      <w:tr w14:paraId="5BC71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0DAAD491">
            <w:pPr>
              <w:spacing w:line="360" w:lineRule="auto"/>
              <w:jc w:val="center"/>
              <w:rPr>
                <w:rFonts w:hint="eastAsia" w:ascii="宋体" w:hAnsi="宋体" w:eastAsia="宋体" w:cs="宋体"/>
                <w:color w:val="auto"/>
                <w:sz w:val="21"/>
                <w:szCs w:val="21"/>
                <w:highlight w:val="none"/>
              </w:rPr>
            </w:pPr>
          </w:p>
        </w:tc>
        <w:tc>
          <w:tcPr>
            <w:tcW w:w="1826" w:type="dxa"/>
            <w:vAlign w:val="center"/>
          </w:tcPr>
          <w:p w14:paraId="68AB7667">
            <w:pPr>
              <w:spacing w:line="360" w:lineRule="auto"/>
              <w:jc w:val="center"/>
              <w:rPr>
                <w:rFonts w:hint="eastAsia" w:ascii="宋体" w:hAnsi="宋体" w:eastAsia="宋体" w:cs="宋体"/>
                <w:color w:val="auto"/>
                <w:sz w:val="21"/>
                <w:szCs w:val="21"/>
                <w:highlight w:val="none"/>
              </w:rPr>
            </w:pPr>
          </w:p>
        </w:tc>
        <w:tc>
          <w:tcPr>
            <w:tcW w:w="1559" w:type="dxa"/>
            <w:vAlign w:val="center"/>
          </w:tcPr>
          <w:p w14:paraId="077505EA">
            <w:pPr>
              <w:spacing w:line="360" w:lineRule="auto"/>
              <w:jc w:val="center"/>
              <w:rPr>
                <w:rFonts w:hint="eastAsia" w:ascii="宋体" w:hAnsi="宋体" w:eastAsia="宋体" w:cs="宋体"/>
                <w:color w:val="auto"/>
                <w:sz w:val="21"/>
                <w:szCs w:val="21"/>
                <w:highlight w:val="none"/>
              </w:rPr>
            </w:pPr>
          </w:p>
        </w:tc>
        <w:tc>
          <w:tcPr>
            <w:tcW w:w="2410" w:type="dxa"/>
            <w:vAlign w:val="center"/>
          </w:tcPr>
          <w:p w14:paraId="226F1AD7">
            <w:pPr>
              <w:spacing w:line="360" w:lineRule="auto"/>
              <w:jc w:val="center"/>
              <w:rPr>
                <w:rFonts w:hint="eastAsia" w:ascii="宋体" w:hAnsi="宋体" w:eastAsia="宋体" w:cs="宋体"/>
                <w:color w:val="auto"/>
                <w:sz w:val="21"/>
                <w:szCs w:val="21"/>
                <w:highlight w:val="none"/>
              </w:rPr>
            </w:pPr>
          </w:p>
        </w:tc>
        <w:tc>
          <w:tcPr>
            <w:tcW w:w="2729" w:type="dxa"/>
            <w:vAlign w:val="center"/>
          </w:tcPr>
          <w:p w14:paraId="015A34FF">
            <w:pPr>
              <w:spacing w:line="360" w:lineRule="auto"/>
              <w:jc w:val="center"/>
              <w:rPr>
                <w:rFonts w:hint="eastAsia" w:ascii="宋体" w:hAnsi="宋体" w:eastAsia="宋体" w:cs="宋体"/>
                <w:color w:val="auto"/>
                <w:sz w:val="21"/>
                <w:szCs w:val="21"/>
                <w:highlight w:val="none"/>
              </w:rPr>
            </w:pPr>
          </w:p>
        </w:tc>
      </w:tr>
      <w:tr w14:paraId="45FB9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878A542">
            <w:pPr>
              <w:spacing w:line="360" w:lineRule="auto"/>
              <w:jc w:val="center"/>
              <w:rPr>
                <w:rFonts w:hint="eastAsia" w:ascii="宋体" w:hAnsi="宋体" w:eastAsia="宋体" w:cs="宋体"/>
                <w:color w:val="auto"/>
                <w:sz w:val="21"/>
                <w:szCs w:val="21"/>
                <w:highlight w:val="none"/>
              </w:rPr>
            </w:pPr>
          </w:p>
        </w:tc>
        <w:tc>
          <w:tcPr>
            <w:tcW w:w="1826" w:type="dxa"/>
            <w:vAlign w:val="center"/>
          </w:tcPr>
          <w:p w14:paraId="6EFC2F8C">
            <w:pPr>
              <w:spacing w:line="360" w:lineRule="auto"/>
              <w:jc w:val="center"/>
              <w:rPr>
                <w:rFonts w:hint="eastAsia" w:ascii="宋体" w:hAnsi="宋体" w:eastAsia="宋体" w:cs="宋体"/>
                <w:color w:val="auto"/>
                <w:sz w:val="21"/>
                <w:szCs w:val="21"/>
                <w:highlight w:val="none"/>
              </w:rPr>
            </w:pPr>
          </w:p>
        </w:tc>
        <w:tc>
          <w:tcPr>
            <w:tcW w:w="1559" w:type="dxa"/>
            <w:vAlign w:val="center"/>
          </w:tcPr>
          <w:p w14:paraId="47492A1A">
            <w:pPr>
              <w:spacing w:line="360" w:lineRule="auto"/>
              <w:jc w:val="center"/>
              <w:rPr>
                <w:rFonts w:hint="eastAsia" w:ascii="宋体" w:hAnsi="宋体" w:eastAsia="宋体" w:cs="宋体"/>
                <w:color w:val="auto"/>
                <w:sz w:val="21"/>
                <w:szCs w:val="21"/>
                <w:highlight w:val="none"/>
              </w:rPr>
            </w:pPr>
          </w:p>
        </w:tc>
        <w:tc>
          <w:tcPr>
            <w:tcW w:w="2410" w:type="dxa"/>
            <w:vAlign w:val="center"/>
          </w:tcPr>
          <w:p w14:paraId="26566C93">
            <w:pPr>
              <w:spacing w:line="360" w:lineRule="auto"/>
              <w:jc w:val="center"/>
              <w:rPr>
                <w:rFonts w:hint="eastAsia" w:ascii="宋体" w:hAnsi="宋体" w:eastAsia="宋体" w:cs="宋体"/>
                <w:color w:val="auto"/>
                <w:sz w:val="21"/>
                <w:szCs w:val="21"/>
                <w:highlight w:val="none"/>
              </w:rPr>
            </w:pPr>
          </w:p>
        </w:tc>
        <w:tc>
          <w:tcPr>
            <w:tcW w:w="2729" w:type="dxa"/>
            <w:vAlign w:val="center"/>
          </w:tcPr>
          <w:p w14:paraId="51339E12">
            <w:pPr>
              <w:spacing w:line="360" w:lineRule="auto"/>
              <w:jc w:val="center"/>
              <w:rPr>
                <w:rFonts w:hint="eastAsia" w:ascii="宋体" w:hAnsi="宋体" w:eastAsia="宋体" w:cs="宋体"/>
                <w:color w:val="auto"/>
                <w:sz w:val="21"/>
                <w:szCs w:val="21"/>
                <w:highlight w:val="none"/>
              </w:rPr>
            </w:pPr>
          </w:p>
        </w:tc>
      </w:tr>
      <w:tr w14:paraId="4D36C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59CCC91A">
            <w:pPr>
              <w:spacing w:line="360" w:lineRule="auto"/>
              <w:jc w:val="center"/>
              <w:rPr>
                <w:rFonts w:hint="eastAsia" w:ascii="宋体" w:hAnsi="宋体" w:eastAsia="宋体" w:cs="宋体"/>
                <w:color w:val="auto"/>
                <w:sz w:val="21"/>
                <w:szCs w:val="21"/>
                <w:highlight w:val="none"/>
              </w:rPr>
            </w:pPr>
          </w:p>
        </w:tc>
        <w:tc>
          <w:tcPr>
            <w:tcW w:w="1826" w:type="dxa"/>
            <w:vAlign w:val="center"/>
          </w:tcPr>
          <w:p w14:paraId="31871C43">
            <w:pPr>
              <w:spacing w:line="360" w:lineRule="auto"/>
              <w:jc w:val="center"/>
              <w:rPr>
                <w:rFonts w:hint="eastAsia" w:ascii="宋体" w:hAnsi="宋体" w:eastAsia="宋体" w:cs="宋体"/>
                <w:color w:val="auto"/>
                <w:sz w:val="21"/>
                <w:szCs w:val="21"/>
                <w:highlight w:val="none"/>
              </w:rPr>
            </w:pPr>
          </w:p>
        </w:tc>
        <w:tc>
          <w:tcPr>
            <w:tcW w:w="1559" w:type="dxa"/>
            <w:vAlign w:val="center"/>
          </w:tcPr>
          <w:p w14:paraId="6EFEA99C">
            <w:pPr>
              <w:spacing w:line="360" w:lineRule="auto"/>
              <w:jc w:val="center"/>
              <w:rPr>
                <w:rFonts w:hint="eastAsia" w:ascii="宋体" w:hAnsi="宋体" w:eastAsia="宋体" w:cs="宋体"/>
                <w:color w:val="auto"/>
                <w:sz w:val="21"/>
                <w:szCs w:val="21"/>
                <w:highlight w:val="none"/>
              </w:rPr>
            </w:pPr>
          </w:p>
        </w:tc>
        <w:tc>
          <w:tcPr>
            <w:tcW w:w="2410" w:type="dxa"/>
            <w:vAlign w:val="center"/>
          </w:tcPr>
          <w:p w14:paraId="4D76FFE9">
            <w:pPr>
              <w:spacing w:line="360" w:lineRule="auto"/>
              <w:jc w:val="center"/>
              <w:rPr>
                <w:rFonts w:hint="eastAsia" w:ascii="宋体" w:hAnsi="宋体" w:eastAsia="宋体" w:cs="宋体"/>
                <w:color w:val="auto"/>
                <w:sz w:val="21"/>
                <w:szCs w:val="21"/>
                <w:highlight w:val="none"/>
              </w:rPr>
            </w:pPr>
          </w:p>
        </w:tc>
        <w:tc>
          <w:tcPr>
            <w:tcW w:w="2729" w:type="dxa"/>
            <w:vAlign w:val="center"/>
          </w:tcPr>
          <w:p w14:paraId="50627088">
            <w:pPr>
              <w:spacing w:line="360" w:lineRule="auto"/>
              <w:jc w:val="center"/>
              <w:rPr>
                <w:rFonts w:hint="eastAsia" w:ascii="宋体" w:hAnsi="宋体" w:eastAsia="宋体" w:cs="宋体"/>
                <w:color w:val="auto"/>
                <w:sz w:val="21"/>
                <w:szCs w:val="21"/>
                <w:highlight w:val="none"/>
              </w:rPr>
            </w:pPr>
          </w:p>
        </w:tc>
      </w:tr>
      <w:tr w14:paraId="10C5E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12B74ECD">
            <w:pPr>
              <w:spacing w:line="360" w:lineRule="auto"/>
              <w:jc w:val="center"/>
              <w:rPr>
                <w:rFonts w:hint="eastAsia" w:ascii="宋体" w:hAnsi="宋体" w:eastAsia="宋体" w:cs="宋体"/>
                <w:color w:val="auto"/>
                <w:sz w:val="21"/>
                <w:szCs w:val="21"/>
                <w:highlight w:val="none"/>
              </w:rPr>
            </w:pPr>
          </w:p>
        </w:tc>
        <w:tc>
          <w:tcPr>
            <w:tcW w:w="1826" w:type="dxa"/>
            <w:vAlign w:val="center"/>
          </w:tcPr>
          <w:p w14:paraId="2DBEF4D6">
            <w:pPr>
              <w:spacing w:line="360" w:lineRule="auto"/>
              <w:jc w:val="center"/>
              <w:rPr>
                <w:rFonts w:hint="eastAsia" w:ascii="宋体" w:hAnsi="宋体" w:eastAsia="宋体" w:cs="宋体"/>
                <w:color w:val="auto"/>
                <w:sz w:val="21"/>
                <w:szCs w:val="21"/>
                <w:highlight w:val="none"/>
              </w:rPr>
            </w:pPr>
          </w:p>
        </w:tc>
        <w:tc>
          <w:tcPr>
            <w:tcW w:w="1559" w:type="dxa"/>
            <w:vAlign w:val="center"/>
          </w:tcPr>
          <w:p w14:paraId="279F0262">
            <w:pPr>
              <w:spacing w:line="360" w:lineRule="auto"/>
              <w:jc w:val="center"/>
              <w:rPr>
                <w:rFonts w:hint="eastAsia" w:ascii="宋体" w:hAnsi="宋体" w:eastAsia="宋体" w:cs="宋体"/>
                <w:color w:val="auto"/>
                <w:sz w:val="21"/>
                <w:szCs w:val="21"/>
                <w:highlight w:val="none"/>
              </w:rPr>
            </w:pPr>
          </w:p>
        </w:tc>
        <w:tc>
          <w:tcPr>
            <w:tcW w:w="2410" w:type="dxa"/>
            <w:vAlign w:val="center"/>
          </w:tcPr>
          <w:p w14:paraId="2C3B3BD4">
            <w:pPr>
              <w:spacing w:line="360" w:lineRule="auto"/>
              <w:jc w:val="center"/>
              <w:rPr>
                <w:rFonts w:hint="eastAsia" w:ascii="宋体" w:hAnsi="宋体" w:eastAsia="宋体" w:cs="宋体"/>
                <w:color w:val="auto"/>
                <w:sz w:val="21"/>
                <w:szCs w:val="21"/>
                <w:highlight w:val="none"/>
              </w:rPr>
            </w:pPr>
          </w:p>
        </w:tc>
        <w:tc>
          <w:tcPr>
            <w:tcW w:w="2729" w:type="dxa"/>
            <w:vAlign w:val="center"/>
          </w:tcPr>
          <w:p w14:paraId="3463E8CC">
            <w:pPr>
              <w:spacing w:line="360" w:lineRule="auto"/>
              <w:jc w:val="center"/>
              <w:rPr>
                <w:rFonts w:hint="eastAsia" w:ascii="宋体" w:hAnsi="宋体" w:eastAsia="宋体" w:cs="宋体"/>
                <w:color w:val="auto"/>
                <w:sz w:val="21"/>
                <w:szCs w:val="21"/>
                <w:highlight w:val="none"/>
              </w:rPr>
            </w:pPr>
          </w:p>
        </w:tc>
      </w:tr>
      <w:tr w14:paraId="64201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00FB1BB0">
            <w:pPr>
              <w:spacing w:line="360" w:lineRule="auto"/>
              <w:jc w:val="center"/>
              <w:rPr>
                <w:rFonts w:hint="eastAsia" w:ascii="宋体" w:hAnsi="宋体" w:eastAsia="宋体" w:cs="宋体"/>
                <w:color w:val="auto"/>
                <w:sz w:val="21"/>
                <w:szCs w:val="21"/>
                <w:highlight w:val="none"/>
              </w:rPr>
            </w:pPr>
          </w:p>
        </w:tc>
        <w:tc>
          <w:tcPr>
            <w:tcW w:w="1826" w:type="dxa"/>
            <w:vAlign w:val="center"/>
          </w:tcPr>
          <w:p w14:paraId="325591A2">
            <w:pPr>
              <w:spacing w:line="360" w:lineRule="auto"/>
              <w:jc w:val="center"/>
              <w:rPr>
                <w:rFonts w:hint="eastAsia" w:ascii="宋体" w:hAnsi="宋体" w:eastAsia="宋体" w:cs="宋体"/>
                <w:color w:val="auto"/>
                <w:sz w:val="21"/>
                <w:szCs w:val="21"/>
                <w:highlight w:val="none"/>
              </w:rPr>
            </w:pPr>
          </w:p>
        </w:tc>
        <w:tc>
          <w:tcPr>
            <w:tcW w:w="1559" w:type="dxa"/>
            <w:vAlign w:val="center"/>
          </w:tcPr>
          <w:p w14:paraId="49D211D5">
            <w:pPr>
              <w:spacing w:line="360" w:lineRule="auto"/>
              <w:jc w:val="center"/>
              <w:rPr>
                <w:rFonts w:hint="eastAsia" w:ascii="宋体" w:hAnsi="宋体" w:eastAsia="宋体" w:cs="宋体"/>
                <w:color w:val="auto"/>
                <w:sz w:val="21"/>
                <w:szCs w:val="21"/>
                <w:highlight w:val="none"/>
              </w:rPr>
            </w:pPr>
          </w:p>
        </w:tc>
        <w:tc>
          <w:tcPr>
            <w:tcW w:w="2410" w:type="dxa"/>
            <w:vAlign w:val="center"/>
          </w:tcPr>
          <w:p w14:paraId="2319E9CE">
            <w:pPr>
              <w:spacing w:line="360" w:lineRule="auto"/>
              <w:jc w:val="center"/>
              <w:rPr>
                <w:rFonts w:hint="eastAsia" w:ascii="宋体" w:hAnsi="宋体" w:eastAsia="宋体" w:cs="宋体"/>
                <w:color w:val="auto"/>
                <w:sz w:val="21"/>
                <w:szCs w:val="21"/>
                <w:highlight w:val="none"/>
              </w:rPr>
            </w:pPr>
          </w:p>
        </w:tc>
        <w:tc>
          <w:tcPr>
            <w:tcW w:w="2729" w:type="dxa"/>
            <w:vAlign w:val="center"/>
          </w:tcPr>
          <w:p w14:paraId="79F6984D">
            <w:pPr>
              <w:spacing w:line="360" w:lineRule="auto"/>
              <w:jc w:val="center"/>
              <w:rPr>
                <w:rFonts w:hint="eastAsia" w:ascii="宋体" w:hAnsi="宋体" w:eastAsia="宋体" w:cs="宋体"/>
                <w:color w:val="auto"/>
                <w:sz w:val="21"/>
                <w:szCs w:val="21"/>
                <w:highlight w:val="none"/>
              </w:rPr>
            </w:pPr>
          </w:p>
        </w:tc>
      </w:tr>
      <w:tr w14:paraId="3FA92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69D7148">
            <w:pPr>
              <w:spacing w:line="360" w:lineRule="auto"/>
              <w:jc w:val="center"/>
              <w:rPr>
                <w:rFonts w:hint="eastAsia" w:ascii="宋体" w:hAnsi="宋体" w:eastAsia="宋体" w:cs="宋体"/>
                <w:color w:val="auto"/>
                <w:sz w:val="21"/>
                <w:szCs w:val="21"/>
                <w:highlight w:val="none"/>
              </w:rPr>
            </w:pPr>
          </w:p>
        </w:tc>
        <w:tc>
          <w:tcPr>
            <w:tcW w:w="1826" w:type="dxa"/>
            <w:vAlign w:val="center"/>
          </w:tcPr>
          <w:p w14:paraId="43D1EB57">
            <w:pPr>
              <w:spacing w:line="360" w:lineRule="auto"/>
              <w:jc w:val="center"/>
              <w:rPr>
                <w:rFonts w:hint="eastAsia" w:ascii="宋体" w:hAnsi="宋体" w:eastAsia="宋体" w:cs="宋体"/>
                <w:color w:val="auto"/>
                <w:sz w:val="21"/>
                <w:szCs w:val="21"/>
                <w:highlight w:val="none"/>
              </w:rPr>
            </w:pPr>
          </w:p>
        </w:tc>
        <w:tc>
          <w:tcPr>
            <w:tcW w:w="1559" w:type="dxa"/>
            <w:vAlign w:val="center"/>
          </w:tcPr>
          <w:p w14:paraId="6409DE86">
            <w:pPr>
              <w:spacing w:line="360" w:lineRule="auto"/>
              <w:jc w:val="center"/>
              <w:rPr>
                <w:rFonts w:hint="eastAsia" w:ascii="宋体" w:hAnsi="宋体" w:eastAsia="宋体" w:cs="宋体"/>
                <w:color w:val="auto"/>
                <w:sz w:val="21"/>
                <w:szCs w:val="21"/>
                <w:highlight w:val="none"/>
              </w:rPr>
            </w:pPr>
          </w:p>
        </w:tc>
        <w:tc>
          <w:tcPr>
            <w:tcW w:w="2410" w:type="dxa"/>
            <w:vAlign w:val="center"/>
          </w:tcPr>
          <w:p w14:paraId="6C566CEE">
            <w:pPr>
              <w:spacing w:line="360" w:lineRule="auto"/>
              <w:jc w:val="center"/>
              <w:rPr>
                <w:rFonts w:hint="eastAsia" w:ascii="宋体" w:hAnsi="宋体" w:eastAsia="宋体" w:cs="宋体"/>
                <w:color w:val="auto"/>
                <w:sz w:val="21"/>
                <w:szCs w:val="21"/>
                <w:highlight w:val="none"/>
              </w:rPr>
            </w:pPr>
          </w:p>
        </w:tc>
        <w:tc>
          <w:tcPr>
            <w:tcW w:w="2729" w:type="dxa"/>
            <w:vAlign w:val="center"/>
          </w:tcPr>
          <w:p w14:paraId="06EBC4D7">
            <w:pPr>
              <w:spacing w:line="360" w:lineRule="auto"/>
              <w:jc w:val="center"/>
              <w:rPr>
                <w:rFonts w:hint="eastAsia" w:ascii="宋体" w:hAnsi="宋体" w:eastAsia="宋体" w:cs="宋体"/>
                <w:color w:val="auto"/>
                <w:sz w:val="21"/>
                <w:szCs w:val="21"/>
                <w:highlight w:val="none"/>
              </w:rPr>
            </w:pPr>
          </w:p>
        </w:tc>
      </w:tr>
      <w:tr w14:paraId="5F34D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0A729DC4">
            <w:pPr>
              <w:spacing w:line="360" w:lineRule="auto"/>
              <w:jc w:val="center"/>
              <w:rPr>
                <w:rFonts w:hint="eastAsia" w:ascii="宋体" w:hAnsi="宋体" w:eastAsia="宋体" w:cs="宋体"/>
                <w:color w:val="auto"/>
                <w:sz w:val="21"/>
                <w:szCs w:val="21"/>
                <w:highlight w:val="none"/>
              </w:rPr>
            </w:pPr>
          </w:p>
        </w:tc>
        <w:tc>
          <w:tcPr>
            <w:tcW w:w="1826" w:type="dxa"/>
            <w:vAlign w:val="center"/>
          </w:tcPr>
          <w:p w14:paraId="7947558C">
            <w:pPr>
              <w:spacing w:line="360" w:lineRule="auto"/>
              <w:jc w:val="center"/>
              <w:rPr>
                <w:rFonts w:hint="eastAsia" w:ascii="宋体" w:hAnsi="宋体" w:eastAsia="宋体" w:cs="宋体"/>
                <w:color w:val="auto"/>
                <w:sz w:val="21"/>
                <w:szCs w:val="21"/>
                <w:highlight w:val="none"/>
              </w:rPr>
            </w:pPr>
          </w:p>
        </w:tc>
        <w:tc>
          <w:tcPr>
            <w:tcW w:w="1559" w:type="dxa"/>
            <w:vAlign w:val="center"/>
          </w:tcPr>
          <w:p w14:paraId="10F7B961">
            <w:pPr>
              <w:spacing w:line="360" w:lineRule="auto"/>
              <w:jc w:val="center"/>
              <w:rPr>
                <w:rFonts w:hint="eastAsia" w:ascii="宋体" w:hAnsi="宋体" w:eastAsia="宋体" w:cs="宋体"/>
                <w:color w:val="auto"/>
                <w:sz w:val="21"/>
                <w:szCs w:val="21"/>
                <w:highlight w:val="none"/>
              </w:rPr>
            </w:pPr>
          </w:p>
        </w:tc>
        <w:tc>
          <w:tcPr>
            <w:tcW w:w="2410" w:type="dxa"/>
            <w:vAlign w:val="center"/>
          </w:tcPr>
          <w:p w14:paraId="60FC396B">
            <w:pPr>
              <w:spacing w:line="360" w:lineRule="auto"/>
              <w:jc w:val="center"/>
              <w:rPr>
                <w:rFonts w:hint="eastAsia" w:ascii="宋体" w:hAnsi="宋体" w:eastAsia="宋体" w:cs="宋体"/>
                <w:color w:val="auto"/>
                <w:sz w:val="21"/>
                <w:szCs w:val="21"/>
                <w:highlight w:val="none"/>
              </w:rPr>
            </w:pPr>
          </w:p>
        </w:tc>
        <w:tc>
          <w:tcPr>
            <w:tcW w:w="2729" w:type="dxa"/>
            <w:vAlign w:val="center"/>
          </w:tcPr>
          <w:p w14:paraId="2765C0CF">
            <w:pPr>
              <w:spacing w:line="360" w:lineRule="auto"/>
              <w:jc w:val="center"/>
              <w:rPr>
                <w:rFonts w:hint="eastAsia" w:ascii="宋体" w:hAnsi="宋体" w:eastAsia="宋体" w:cs="宋体"/>
                <w:color w:val="auto"/>
                <w:sz w:val="21"/>
                <w:szCs w:val="21"/>
                <w:highlight w:val="none"/>
              </w:rPr>
            </w:pPr>
          </w:p>
        </w:tc>
      </w:tr>
      <w:tr w14:paraId="28D56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0F2E57F">
            <w:pPr>
              <w:spacing w:line="360" w:lineRule="auto"/>
              <w:jc w:val="center"/>
              <w:rPr>
                <w:rFonts w:hint="eastAsia" w:ascii="宋体" w:hAnsi="宋体" w:eastAsia="宋体" w:cs="宋体"/>
                <w:color w:val="auto"/>
                <w:sz w:val="21"/>
                <w:szCs w:val="21"/>
                <w:highlight w:val="none"/>
              </w:rPr>
            </w:pPr>
          </w:p>
        </w:tc>
        <w:tc>
          <w:tcPr>
            <w:tcW w:w="1826" w:type="dxa"/>
            <w:vAlign w:val="center"/>
          </w:tcPr>
          <w:p w14:paraId="03917229">
            <w:pPr>
              <w:spacing w:line="360" w:lineRule="auto"/>
              <w:jc w:val="center"/>
              <w:rPr>
                <w:rFonts w:hint="eastAsia" w:ascii="宋体" w:hAnsi="宋体" w:eastAsia="宋体" w:cs="宋体"/>
                <w:color w:val="auto"/>
                <w:sz w:val="21"/>
                <w:szCs w:val="21"/>
                <w:highlight w:val="none"/>
              </w:rPr>
            </w:pPr>
          </w:p>
        </w:tc>
        <w:tc>
          <w:tcPr>
            <w:tcW w:w="1559" w:type="dxa"/>
            <w:vAlign w:val="center"/>
          </w:tcPr>
          <w:p w14:paraId="549BAF66">
            <w:pPr>
              <w:spacing w:line="360" w:lineRule="auto"/>
              <w:jc w:val="center"/>
              <w:rPr>
                <w:rFonts w:hint="eastAsia" w:ascii="宋体" w:hAnsi="宋体" w:eastAsia="宋体" w:cs="宋体"/>
                <w:color w:val="auto"/>
                <w:sz w:val="21"/>
                <w:szCs w:val="21"/>
                <w:highlight w:val="none"/>
              </w:rPr>
            </w:pPr>
          </w:p>
        </w:tc>
        <w:tc>
          <w:tcPr>
            <w:tcW w:w="2410" w:type="dxa"/>
            <w:vAlign w:val="center"/>
          </w:tcPr>
          <w:p w14:paraId="4F732488">
            <w:pPr>
              <w:spacing w:line="360" w:lineRule="auto"/>
              <w:jc w:val="center"/>
              <w:rPr>
                <w:rFonts w:hint="eastAsia" w:ascii="宋体" w:hAnsi="宋体" w:eastAsia="宋体" w:cs="宋体"/>
                <w:color w:val="auto"/>
                <w:sz w:val="21"/>
                <w:szCs w:val="21"/>
                <w:highlight w:val="none"/>
              </w:rPr>
            </w:pPr>
          </w:p>
        </w:tc>
        <w:tc>
          <w:tcPr>
            <w:tcW w:w="2729" w:type="dxa"/>
            <w:vAlign w:val="center"/>
          </w:tcPr>
          <w:p w14:paraId="6B658B2F">
            <w:pPr>
              <w:spacing w:line="360" w:lineRule="auto"/>
              <w:jc w:val="center"/>
              <w:rPr>
                <w:rFonts w:hint="eastAsia" w:ascii="宋体" w:hAnsi="宋体" w:eastAsia="宋体" w:cs="宋体"/>
                <w:color w:val="auto"/>
                <w:sz w:val="21"/>
                <w:szCs w:val="21"/>
                <w:highlight w:val="none"/>
              </w:rPr>
            </w:pPr>
          </w:p>
        </w:tc>
      </w:tr>
      <w:tr w14:paraId="5B994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60F60A6">
            <w:pPr>
              <w:spacing w:line="360" w:lineRule="auto"/>
              <w:jc w:val="center"/>
              <w:rPr>
                <w:rFonts w:hint="eastAsia" w:ascii="宋体" w:hAnsi="宋体" w:eastAsia="宋体" w:cs="宋体"/>
                <w:color w:val="auto"/>
                <w:sz w:val="21"/>
                <w:szCs w:val="21"/>
                <w:highlight w:val="none"/>
              </w:rPr>
            </w:pPr>
          </w:p>
        </w:tc>
        <w:tc>
          <w:tcPr>
            <w:tcW w:w="1826" w:type="dxa"/>
            <w:vAlign w:val="center"/>
          </w:tcPr>
          <w:p w14:paraId="15C60535">
            <w:pPr>
              <w:spacing w:line="360" w:lineRule="auto"/>
              <w:jc w:val="center"/>
              <w:rPr>
                <w:rFonts w:hint="eastAsia" w:ascii="宋体" w:hAnsi="宋体" w:eastAsia="宋体" w:cs="宋体"/>
                <w:color w:val="auto"/>
                <w:sz w:val="21"/>
                <w:szCs w:val="21"/>
                <w:highlight w:val="none"/>
              </w:rPr>
            </w:pPr>
          </w:p>
        </w:tc>
        <w:tc>
          <w:tcPr>
            <w:tcW w:w="1559" w:type="dxa"/>
            <w:vAlign w:val="center"/>
          </w:tcPr>
          <w:p w14:paraId="48F2A684">
            <w:pPr>
              <w:spacing w:line="360" w:lineRule="auto"/>
              <w:jc w:val="center"/>
              <w:rPr>
                <w:rFonts w:hint="eastAsia" w:ascii="宋体" w:hAnsi="宋体" w:eastAsia="宋体" w:cs="宋体"/>
                <w:color w:val="auto"/>
                <w:sz w:val="21"/>
                <w:szCs w:val="21"/>
                <w:highlight w:val="none"/>
              </w:rPr>
            </w:pPr>
          </w:p>
        </w:tc>
        <w:tc>
          <w:tcPr>
            <w:tcW w:w="2410" w:type="dxa"/>
            <w:vAlign w:val="center"/>
          </w:tcPr>
          <w:p w14:paraId="7904CB5D">
            <w:pPr>
              <w:spacing w:line="360" w:lineRule="auto"/>
              <w:jc w:val="center"/>
              <w:rPr>
                <w:rFonts w:hint="eastAsia" w:ascii="宋体" w:hAnsi="宋体" w:eastAsia="宋体" w:cs="宋体"/>
                <w:color w:val="auto"/>
                <w:sz w:val="21"/>
                <w:szCs w:val="21"/>
                <w:highlight w:val="none"/>
              </w:rPr>
            </w:pPr>
          </w:p>
        </w:tc>
        <w:tc>
          <w:tcPr>
            <w:tcW w:w="2729" w:type="dxa"/>
            <w:vAlign w:val="center"/>
          </w:tcPr>
          <w:p w14:paraId="1294C78A">
            <w:pPr>
              <w:spacing w:line="360" w:lineRule="auto"/>
              <w:jc w:val="center"/>
              <w:rPr>
                <w:rFonts w:hint="eastAsia" w:ascii="宋体" w:hAnsi="宋体" w:eastAsia="宋体" w:cs="宋体"/>
                <w:color w:val="auto"/>
                <w:sz w:val="21"/>
                <w:szCs w:val="21"/>
                <w:highlight w:val="none"/>
              </w:rPr>
            </w:pPr>
          </w:p>
        </w:tc>
      </w:tr>
      <w:tr w14:paraId="0B423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5FE33991">
            <w:pPr>
              <w:spacing w:line="360" w:lineRule="auto"/>
              <w:jc w:val="center"/>
              <w:rPr>
                <w:rFonts w:hint="eastAsia" w:ascii="宋体" w:hAnsi="宋体" w:eastAsia="宋体" w:cs="宋体"/>
                <w:color w:val="auto"/>
                <w:sz w:val="21"/>
                <w:szCs w:val="21"/>
                <w:highlight w:val="none"/>
              </w:rPr>
            </w:pPr>
          </w:p>
        </w:tc>
        <w:tc>
          <w:tcPr>
            <w:tcW w:w="1826" w:type="dxa"/>
            <w:vAlign w:val="center"/>
          </w:tcPr>
          <w:p w14:paraId="6C28FB99">
            <w:pPr>
              <w:spacing w:line="360" w:lineRule="auto"/>
              <w:jc w:val="center"/>
              <w:rPr>
                <w:rFonts w:hint="eastAsia" w:ascii="宋体" w:hAnsi="宋体" w:eastAsia="宋体" w:cs="宋体"/>
                <w:color w:val="auto"/>
                <w:sz w:val="21"/>
                <w:szCs w:val="21"/>
                <w:highlight w:val="none"/>
              </w:rPr>
            </w:pPr>
          </w:p>
        </w:tc>
        <w:tc>
          <w:tcPr>
            <w:tcW w:w="1559" w:type="dxa"/>
            <w:vAlign w:val="center"/>
          </w:tcPr>
          <w:p w14:paraId="38722747">
            <w:pPr>
              <w:spacing w:line="360" w:lineRule="auto"/>
              <w:jc w:val="center"/>
              <w:rPr>
                <w:rFonts w:hint="eastAsia" w:ascii="宋体" w:hAnsi="宋体" w:eastAsia="宋体" w:cs="宋体"/>
                <w:color w:val="auto"/>
                <w:sz w:val="21"/>
                <w:szCs w:val="21"/>
                <w:highlight w:val="none"/>
              </w:rPr>
            </w:pPr>
          </w:p>
        </w:tc>
        <w:tc>
          <w:tcPr>
            <w:tcW w:w="2410" w:type="dxa"/>
            <w:vAlign w:val="center"/>
          </w:tcPr>
          <w:p w14:paraId="12D07FF3">
            <w:pPr>
              <w:spacing w:line="360" w:lineRule="auto"/>
              <w:jc w:val="center"/>
              <w:rPr>
                <w:rFonts w:hint="eastAsia" w:ascii="宋体" w:hAnsi="宋体" w:eastAsia="宋体" w:cs="宋体"/>
                <w:color w:val="auto"/>
                <w:sz w:val="21"/>
                <w:szCs w:val="21"/>
                <w:highlight w:val="none"/>
              </w:rPr>
            </w:pPr>
          </w:p>
        </w:tc>
        <w:tc>
          <w:tcPr>
            <w:tcW w:w="2729" w:type="dxa"/>
            <w:vAlign w:val="center"/>
          </w:tcPr>
          <w:p w14:paraId="6A3896A1">
            <w:pPr>
              <w:spacing w:line="360" w:lineRule="auto"/>
              <w:jc w:val="center"/>
              <w:rPr>
                <w:rFonts w:hint="eastAsia" w:ascii="宋体" w:hAnsi="宋体" w:eastAsia="宋体" w:cs="宋体"/>
                <w:color w:val="auto"/>
                <w:sz w:val="21"/>
                <w:szCs w:val="21"/>
                <w:highlight w:val="none"/>
              </w:rPr>
            </w:pPr>
          </w:p>
        </w:tc>
      </w:tr>
      <w:tr w14:paraId="5A170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089B1697">
            <w:pPr>
              <w:spacing w:line="360" w:lineRule="auto"/>
              <w:jc w:val="center"/>
              <w:rPr>
                <w:rFonts w:hint="eastAsia" w:ascii="宋体" w:hAnsi="宋体" w:eastAsia="宋体" w:cs="宋体"/>
                <w:color w:val="auto"/>
                <w:sz w:val="21"/>
                <w:szCs w:val="21"/>
                <w:highlight w:val="none"/>
              </w:rPr>
            </w:pPr>
          </w:p>
        </w:tc>
        <w:tc>
          <w:tcPr>
            <w:tcW w:w="1826" w:type="dxa"/>
            <w:vAlign w:val="center"/>
          </w:tcPr>
          <w:p w14:paraId="06BED4E5">
            <w:pPr>
              <w:spacing w:line="360" w:lineRule="auto"/>
              <w:jc w:val="center"/>
              <w:rPr>
                <w:rFonts w:hint="eastAsia" w:ascii="宋体" w:hAnsi="宋体" w:eastAsia="宋体" w:cs="宋体"/>
                <w:color w:val="auto"/>
                <w:sz w:val="21"/>
                <w:szCs w:val="21"/>
                <w:highlight w:val="none"/>
              </w:rPr>
            </w:pPr>
          </w:p>
        </w:tc>
        <w:tc>
          <w:tcPr>
            <w:tcW w:w="1559" w:type="dxa"/>
            <w:vAlign w:val="center"/>
          </w:tcPr>
          <w:p w14:paraId="771A8F1E">
            <w:pPr>
              <w:spacing w:line="360" w:lineRule="auto"/>
              <w:jc w:val="center"/>
              <w:rPr>
                <w:rFonts w:hint="eastAsia" w:ascii="宋体" w:hAnsi="宋体" w:eastAsia="宋体" w:cs="宋体"/>
                <w:color w:val="auto"/>
                <w:sz w:val="21"/>
                <w:szCs w:val="21"/>
                <w:highlight w:val="none"/>
              </w:rPr>
            </w:pPr>
          </w:p>
        </w:tc>
        <w:tc>
          <w:tcPr>
            <w:tcW w:w="2410" w:type="dxa"/>
            <w:vAlign w:val="center"/>
          </w:tcPr>
          <w:p w14:paraId="5A4D0DD1">
            <w:pPr>
              <w:spacing w:line="360" w:lineRule="auto"/>
              <w:jc w:val="center"/>
              <w:rPr>
                <w:rFonts w:hint="eastAsia" w:ascii="宋体" w:hAnsi="宋体" w:eastAsia="宋体" w:cs="宋体"/>
                <w:color w:val="auto"/>
                <w:sz w:val="21"/>
                <w:szCs w:val="21"/>
                <w:highlight w:val="none"/>
              </w:rPr>
            </w:pPr>
          </w:p>
        </w:tc>
        <w:tc>
          <w:tcPr>
            <w:tcW w:w="2729" w:type="dxa"/>
            <w:vAlign w:val="center"/>
          </w:tcPr>
          <w:p w14:paraId="4D049D2D">
            <w:pPr>
              <w:spacing w:line="360" w:lineRule="auto"/>
              <w:jc w:val="center"/>
              <w:rPr>
                <w:rFonts w:hint="eastAsia" w:ascii="宋体" w:hAnsi="宋体" w:eastAsia="宋体" w:cs="宋体"/>
                <w:color w:val="auto"/>
                <w:sz w:val="21"/>
                <w:szCs w:val="21"/>
                <w:highlight w:val="none"/>
              </w:rPr>
            </w:pPr>
          </w:p>
        </w:tc>
      </w:tr>
      <w:tr w14:paraId="0CE47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25A26A0">
            <w:pPr>
              <w:spacing w:line="360" w:lineRule="auto"/>
              <w:jc w:val="center"/>
              <w:rPr>
                <w:rFonts w:hint="eastAsia" w:ascii="宋体" w:hAnsi="宋体" w:eastAsia="宋体" w:cs="宋体"/>
                <w:color w:val="auto"/>
                <w:sz w:val="21"/>
                <w:szCs w:val="21"/>
                <w:highlight w:val="none"/>
              </w:rPr>
            </w:pPr>
          </w:p>
        </w:tc>
        <w:tc>
          <w:tcPr>
            <w:tcW w:w="1826" w:type="dxa"/>
            <w:vAlign w:val="center"/>
          </w:tcPr>
          <w:p w14:paraId="12710696">
            <w:pPr>
              <w:spacing w:line="360" w:lineRule="auto"/>
              <w:jc w:val="center"/>
              <w:rPr>
                <w:rFonts w:hint="eastAsia" w:ascii="宋体" w:hAnsi="宋体" w:eastAsia="宋体" w:cs="宋体"/>
                <w:color w:val="auto"/>
                <w:sz w:val="21"/>
                <w:szCs w:val="21"/>
                <w:highlight w:val="none"/>
              </w:rPr>
            </w:pPr>
          </w:p>
        </w:tc>
        <w:tc>
          <w:tcPr>
            <w:tcW w:w="1559" w:type="dxa"/>
            <w:vAlign w:val="center"/>
          </w:tcPr>
          <w:p w14:paraId="468EA519">
            <w:pPr>
              <w:spacing w:line="360" w:lineRule="auto"/>
              <w:jc w:val="center"/>
              <w:rPr>
                <w:rFonts w:hint="eastAsia" w:ascii="宋体" w:hAnsi="宋体" w:eastAsia="宋体" w:cs="宋体"/>
                <w:color w:val="auto"/>
                <w:sz w:val="21"/>
                <w:szCs w:val="21"/>
                <w:highlight w:val="none"/>
              </w:rPr>
            </w:pPr>
          </w:p>
        </w:tc>
        <w:tc>
          <w:tcPr>
            <w:tcW w:w="2410" w:type="dxa"/>
            <w:vAlign w:val="center"/>
          </w:tcPr>
          <w:p w14:paraId="1325D765">
            <w:pPr>
              <w:spacing w:line="360" w:lineRule="auto"/>
              <w:jc w:val="center"/>
              <w:rPr>
                <w:rFonts w:hint="eastAsia" w:ascii="宋体" w:hAnsi="宋体" w:eastAsia="宋体" w:cs="宋体"/>
                <w:color w:val="auto"/>
                <w:sz w:val="21"/>
                <w:szCs w:val="21"/>
                <w:highlight w:val="none"/>
              </w:rPr>
            </w:pPr>
          </w:p>
        </w:tc>
        <w:tc>
          <w:tcPr>
            <w:tcW w:w="2729" w:type="dxa"/>
            <w:vAlign w:val="center"/>
          </w:tcPr>
          <w:p w14:paraId="174D0B1D">
            <w:pPr>
              <w:spacing w:line="360" w:lineRule="auto"/>
              <w:jc w:val="center"/>
              <w:rPr>
                <w:rFonts w:hint="eastAsia" w:ascii="宋体" w:hAnsi="宋体" w:eastAsia="宋体" w:cs="宋体"/>
                <w:color w:val="auto"/>
                <w:sz w:val="21"/>
                <w:szCs w:val="21"/>
                <w:highlight w:val="none"/>
              </w:rPr>
            </w:pPr>
          </w:p>
        </w:tc>
      </w:tr>
      <w:tr w14:paraId="33D27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B00EFBA">
            <w:pPr>
              <w:spacing w:line="360" w:lineRule="auto"/>
              <w:jc w:val="center"/>
              <w:rPr>
                <w:rFonts w:hint="eastAsia" w:ascii="宋体" w:hAnsi="宋体" w:eastAsia="宋体" w:cs="宋体"/>
                <w:color w:val="auto"/>
                <w:sz w:val="21"/>
                <w:szCs w:val="21"/>
                <w:highlight w:val="none"/>
              </w:rPr>
            </w:pPr>
          </w:p>
        </w:tc>
        <w:tc>
          <w:tcPr>
            <w:tcW w:w="1826" w:type="dxa"/>
            <w:vAlign w:val="center"/>
          </w:tcPr>
          <w:p w14:paraId="4C40975E">
            <w:pPr>
              <w:spacing w:line="360" w:lineRule="auto"/>
              <w:jc w:val="center"/>
              <w:rPr>
                <w:rFonts w:hint="eastAsia" w:ascii="宋体" w:hAnsi="宋体" w:eastAsia="宋体" w:cs="宋体"/>
                <w:color w:val="auto"/>
                <w:sz w:val="21"/>
                <w:szCs w:val="21"/>
                <w:highlight w:val="none"/>
              </w:rPr>
            </w:pPr>
          </w:p>
        </w:tc>
        <w:tc>
          <w:tcPr>
            <w:tcW w:w="1559" w:type="dxa"/>
            <w:vAlign w:val="center"/>
          </w:tcPr>
          <w:p w14:paraId="140FC96A">
            <w:pPr>
              <w:spacing w:line="360" w:lineRule="auto"/>
              <w:jc w:val="center"/>
              <w:rPr>
                <w:rFonts w:hint="eastAsia" w:ascii="宋体" w:hAnsi="宋体" w:eastAsia="宋体" w:cs="宋体"/>
                <w:color w:val="auto"/>
                <w:sz w:val="21"/>
                <w:szCs w:val="21"/>
                <w:highlight w:val="none"/>
              </w:rPr>
            </w:pPr>
          </w:p>
        </w:tc>
        <w:tc>
          <w:tcPr>
            <w:tcW w:w="2410" w:type="dxa"/>
            <w:vAlign w:val="center"/>
          </w:tcPr>
          <w:p w14:paraId="74AD3295">
            <w:pPr>
              <w:spacing w:line="360" w:lineRule="auto"/>
              <w:jc w:val="center"/>
              <w:rPr>
                <w:rFonts w:hint="eastAsia" w:ascii="宋体" w:hAnsi="宋体" w:eastAsia="宋体" w:cs="宋体"/>
                <w:color w:val="auto"/>
                <w:sz w:val="21"/>
                <w:szCs w:val="21"/>
                <w:highlight w:val="none"/>
              </w:rPr>
            </w:pPr>
          </w:p>
        </w:tc>
        <w:tc>
          <w:tcPr>
            <w:tcW w:w="2729" w:type="dxa"/>
            <w:vAlign w:val="center"/>
          </w:tcPr>
          <w:p w14:paraId="0394FE2E">
            <w:pPr>
              <w:spacing w:line="360" w:lineRule="auto"/>
              <w:jc w:val="center"/>
              <w:rPr>
                <w:rFonts w:hint="eastAsia" w:ascii="宋体" w:hAnsi="宋体" w:eastAsia="宋体" w:cs="宋体"/>
                <w:color w:val="auto"/>
                <w:sz w:val="21"/>
                <w:szCs w:val="21"/>
                <w:highlight w:val="none"/>
              </w:rPr>
            </w:pPr>
          </w:p>
        </w:tc>
      </w:tr>
      <w:tr w14:paraId="792BD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DF2DF28">
            <w:pPr>
              <w:spacing w:line="360" w:lineRule="auto"/>
              <w:jc w:val="center"/>
              <w:rPr>
                <w:rFonts w:hint="eastAsia" w:ascii="宋体" w:hAnsi="宋体" w:eastAsia="宋体" w:cs="宋体"/>
                <w:color w:val="auto"/>
                <w:sz w:val="21"/>
                <w:szCs w:val="21"/>
                <w:highlight w:val="none"/>
              </w:rPr>
            </w:pPr>
          </w:p>
        </w:tc>
        <w:tc>
          <w:tcPr>
            <w:tcW w:w="1826" w:type="dxa"/>
            <w:vAlign w:val="center"/>
          </w:tcPr>
          <w:p w14:paraId="695B603A">
            <w:pPr>
              <w:spacing w:line="360" w:lineRule="auto"/>
              <w:jc w:val="center"/>
              <w:rPr>
                <w:rFonts w:hint="eastAsia" w:ascii="宋体" w:hAnsi="宋体" w:eastAsia="宋体" w:cs="宋体"/>
                <w:color w:val="auto"/>
                <w:sz w:val="21"/>
                <w:szCs w:val="21"/>
                <w:highlight w:val="none"/>
              </w:rPr>
            </w:pPr>
          </w:p>
        </w:tc>
        <w:tc>
          <w:tcPr>
            <w:tcW w:w="1559" w:type="dxa"/>
            <w:vAlign w:val="center"/>
          </w:tcPr>
          <w:p w14:paraId="1AB071EC">
            <w:pPr>
              <w:spacing w:line="360" w:lineRule="auto"/>
              <w:jc w:val="center"/>
              <w:rPr>
                <w:rFonts w:hint="eastAsia" w:ascii="宋体" w:hAnsi="宋体" w:eastAsia="宋体" w:cs="宋体"/>
                <w:color w:val="auto"/>
                <w:sz w:val="21"/>
                <w:szCs w:val="21"/>
                <w:highlight w:val="none"/>
              </w:rPr>
            </w:pPr>
          </w:p>
        </w:tc>
        <w:tc>
          <w:tcPr>
            <w:tcW w:w="2410" w:type="dxa"/>
            <w:vAlign w:val="center"/>
          </w:tcPr>
          <w:p w14:paraId="17303E1D">
            <w:pPr>
              <w:spacing w:line="360" w:lineRule="auto"/>
              <w:jc w:val="center"/>
              <w:rPr>
                <w:rFonts w:hint="eastAsia" w:ascii="宋体" w:hAnsi="宋体" w:eastAsia="宋体" w:cs="宋体"/>
                <w:color w:val="auto"/>
                <w:sz w:val="21"/>
                <w:szCs w:val="21"/>
                <w:highlight w:val="none"/>
              </w:rPr>
            </w:pPr>
          </w:p>
        </w:tc>
        <w:tc>
          <w:tcPr>
            <w:tcW w:w="2729" w:type="dxa"/>
            <w:vAlign w:val="center"/>
          </w:tcPr>
          <w:p w14:paraId="2ED0B0B1">
            <w:pPr>
              <w:spacing w:line="360" w:lineRule="auto"/>
              <w:jc w:val="center"/>
              <w:rPr>
                <w:rFonts w:hint="eastAsia" w:ascii="宋体" w:hAnsi="宋体" w:eastAsia="宋体" w:cs="宋体"/>
                <w:color w:val="auto"/>
                <w:sz w:val="21"/>
                <w:szCs w:val="21"/>
                <w:highlight w:val="none"/>
              </w:rPr>
            </w:pPr>
          </w:p>
        </w:tc>
      </w:tr>
    </w:tbl>
    <w:p w14:paraId="117F22C3">
      <w:pPr>
        <w:rPr>
          <w:color w:val="auto"/>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6C109A"/>
    <w:rsid w:val="646C10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Plain Text"/>
    <w:basedOn w:val="1"/>
    <w:qFormat/>
    <w:uiPriority w:val="0"/>
    <w:rPr>
      <w:rFonts w:ascii="宋体" w:hAnsi="Courier New" w:cs="Courier New"/>
      <w:szCs w:val="21"/>
    </w:rPr>
  </w:style>
  <w:style w:type="paragraph" w:styleId="4">
    <w:name w:val="toc 1"/>
    <w:basedOn w:val="1"/>
    <w:next w:val="1"/>
    <w:qFormat/>
    <w:uiPriority w:val="0"/>
    <w:pPr>
      <w:widowControl/>
      <w:spacing w:after="100" w:line="276" w:lineRule="auto"/>
      <w:jc w:val="left"/>
    </w:pPr>
    <w:rPr>
      <w:kern w:val="0"/>
      <w:sz w:val="22"/>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2025-04-01T05:26:00Z</dcterms:created>
  <dc:creator>mo·xuan</dc:creator>
  <cp:lastModifiedBy>mo·xuan</cp:lastModifiedBy>
  <dcterms:modified xsi:type="dcterms:W3CDTF">2025-04-01T05:26:46Z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8DE7778985FB4B6B988034AC0DCDE6BA_11</vt:lpwstr>
  </property>
  <property fmtid="{D5CDD505-2E9C-101B-9397-08002B2CF9AE}" pid="4" name="KSOTemplateDocerSaveRecord">
    <vt:lpwstr>eyJoZGlkIjoiYTYwNWE2MmNhNzRiMDNhMjMzYTJhNjIzZjY2YmY0MGMiLCJ1c2VySWQiOiI3OTY2NTg3ODQifQ==</vt:lpwstr>
  </property>
</Properties>
</file>