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Theme="minorHAnsi" w:hAnsiTheme="minorHAnsi" w:eastAsiaTheme="minorEastAsia"/>
          <w:color w:val="auto"/>
          <w:highlight w:val="none"/>
          <w:lang w:eastAsia="zh-CN"/>
        </w:rPr>
      </w:pPr>
      <w:bookmarkStart w:id="0" w:name="_Toc6438"/>
      <w:bookmarkStart w:id="1" w:name="_Toc21625"/>
      <w:r>
        <w:rPr>
          <w:rFonts w:asciiTheme="minorHAnsi" w:hAnsiTheme="minorHAnsi" w:eastAsiaTheme="minorEastAsia"/>
          <w:color w:val="auto"/>
          <w:highlight w:val="none"/>
        </w:rPr>
        <w:t>合同</w:t>
      </w:r>
      <w:bookmarkEnd w:id="0"/>
      <w:bookmarkEnd w:id="1"/>
      <w:r>
        <w:rPr>
          <w:rFonts w:hint="eastAsia" w:asciiTheme="minorHAnsi" w:hAnsiTheme="minorHAnsi" w:eastAsiaTheme="minorEastAsia"/>
          <w:color w:val="auto"/>
          <w:highlight w:val="none"/>
          <w:lang w:val="en-US" w:eastAsia="zh-CN"/>
        </w:rPr>
        <w:t>文本</w:t>
      </w:r>
    </w:p>
    <w:p>
      <w:pPr>
        <w:kinsoku w:val="0"/>
        <w:spacing w:line="400" w:lineRule="exact"/>
        <w:ind w:firstLine="525" w:firstLineChars="250"/>
        <w:rPr>
          <w:rFonts w:hint="default" w:asciiTheme="minorHAnsi" w:hAnsiTheme="minorHAnsi" w:eastAsiaTheme="minorEastAsia"/>
          <w:color w:val="auto"/>
          <w:sz w:val="21"/>
          <w:szCs w:val="21"/>
          <w:highlight w:val="none"/>
          <w:u w:val="single"/>
          <w:lang w:val="en-US" w:eastAsia="zh-CN"/>
        </w:rPr>
      </w:pPr>
      <w:bookmarkStart w:id="2" w:name="_Toc29433"/>
      <w:bookmarkEnd w:id="2"/>
      <w:r>
        <w:rPr>
          <w:rFonts w:asciiTheme="minorHAnsi" w:hAnsiTheme="minorHAnsi" w:eastAsiaTheme="minorEastAsia"/>
          <w:color w:val="auto"/>
          <w:sz w:val="21"/>
          <w:szCs w:val="21"/>
          <w:highlight w:val="none"/>
        </w:rPr>
        <w:t>甲方（买方）：</w:t>
      </w:r>
      <w:r>
        <w:rPr>
          <w:rFonts w:hint="eastAsia" w:asciiTheme="minorHAnsi" w:hAnsiTheme="minorHAnsi" w:eastAsiaTheme="minorEastAsia"/>
          <w:color w:val="auto"/>
          <w:sz w:val="21"/>
          <w:szCs w:val="21"/>
          <w:highlight w:val="none"/>
          <w:u w:val="single"/>
          <w:lang w:val="en-US" w:eastAsia="zh-CN"/>
        </w:rPr>
        <w:t xml:space="preserve">                                    </w:t>
      </w:r>
    </w:p>
    <w:p>
      <w:pPr>
        <w:kinsoku w:val="0"/>
        <w:spacing w:line="400" w:lineRule="exact"/>
        <w:ind w:firstLine="525" w:firstLineChars="250"/>
        <w:rPr>
          <w:rFonts w:hint="default" w:asciiTheme="minorHAnsi" w:hAnsiTheme="minorHAnsi" w:eastAsiaTheme="minorEastAsia"/>
          <w:color w:val="auto"/>
          <w:sz w:val="21"/>
          <w:szCs w:val="21"/>
          <w:highlight w:val="none"/>
          <w:u w:val="single"/>
          <w:lang w:val="en-US" w:eastAsia="zh-CN"/>
        </w:rPr>
      </w:pPr>
      <w:r>
        <w:rPr>
          <w:rFonts w:asciiTheme="minorHAnsi" w:hAnsiTheme="minorHAnsi" w:eastAsiaTheme="minorEastAsia"/>
          <w:color w:val="auto"/>
          <w:sz w:val="21"/>
          <w:szCs w:val="21"/>
          <w:highlight w:val="none"/>
        </w:rPr>
        <w:t>乙方（卖方）：</w:t>
      </w:r>
      <w:r>
        <w:rPr>
          <w:rFonts w:hint="eastAsia" w:asciiTheme="minorHAnsi" w:hAnsiTheme="minorHAnsi" w:eastAsiaTheme="minorEastAsia"/>
          <w:color w:val="auto"/>
          <w:sz w:val="21"/>
          <w:szCs w:val="21"/>
          <w:highlight w:val="none"/>
          <w:u w:val="single"/>
          <w:lang w:val="en-US" w:eastAsia="zh-CN"/>
        </w:rPr>
        <w:t xml:space="preserve">                                    </w:t>
      </w:r>
    </w:p>
    <w:p>
      <w:pPr>
        <w:kinsoku w:val="0"/>
        <w:spacing w:line="400" w:lineRule="exact"/>
        <w:ind w:firstLine="525" w:firstLineChars="250"/>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根据《中华人民共和国政府采购法》、《中华人民共和国民法典》等法律法规，甲方通过</w:t>
      </w:r>
      <w:r>
        <w:rPr>
          <w:rFonts w:hint="eastAsia" w:asciiTheme="minorHAnsi" w:hAnsiTheme="minorHAnsi" w:eastAsiaTheme="minorEastAsia"/>
          <w:color w:val="auto"/>
          <w:sz w:val="21"/>
          <w:szCs w:val="21"/>
          <w:highlight w:val="none"/>
          <w:u w:val="single"/>
          <w:lang w:val="en-US" w:eastAsia="zh-CN"/>
        </w:rPr>
        <w:t xml:space="preserve">谈判采购  </w:t>
      </w:r>
      <w:r>
        <w:rPr>
          <w:rFonts w:asciiTheme="minorHAnsi" w:hAnsiTheme="minorHAnsi" w:eastAsiaTheme="minorEastAsia"/>
          <w:color w:val="auto"/>
          <w:sz w:val="21"/>
          <w:szCs w:val="21"/>
          <w:highlight w:val="none"/>
        </w:rPr>
        <w:t>，选定乙方为</w:t>
      </w:r>
      <w:r>
        <w:rPr>
          <w:rFonts w:hint="eastAsia" w:asciiTheme="minorHAnsi" w:hAnsiTheme="minorHAnsi" w:eastAsiaTheme="minorEastAsia"/>
          <w:color w:val="auto"/>
          <w:sz w:val="21"/>
          <w:szCs w:val="21"/>
          <w:highlight w:val="none"/>
          <w:lang w:val="en-US" w:eastAsia="zh-CN"/>
        </w:rPr>
        <w:t>成交</w:t>
      </w:r>
      <w:r>
        <w:rPr>
          <w:rFonts w:asciiTheme="minorHAnsi" w:hAnsiTheme="minorHAnsi" w:eastAsiaTheme="minorEastAsia"/>
          <w:color w:val="auto"/>
          <w:sz w:val="21"/>
          <w:szCs w:val="21"/>
          <w:highlight w:val="none"/>
        </w:rPr>
        <w:t>供应商。甲、乙双方在平等基础上协商一致，达成如下合同条款：</w:t>
      </w:r>
    </w:p>
    <w:p>
      <w:pPr>
        <w:kinsoku w:val="0"/>
        <w:spacing w:line="400" w:lineRule="exact"/>
        <w:ind w:firstLine="525" w:firstLineChars="250"/>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一、</w:t>
      </w:r>
      <w:r>
        <w:rPr>
          <w:rFonts w:asciiTheme="minorHAnsi" w:hAnsiTheme="minorHAnsi" w:eastAsiaTheme="minorEastAsia"/>
          <w:b/>
          <w:bCs/>
          <w:color w:val="auto"/>
          <w:sz w:val="21"/>
          <w:szCs w:val="21"/>
          <w:highlight w:val="none"/>
        </w:rPr>
        <w:t>合同内容</w:t>
      </w:r>
    </w:p>
    <w:tbl>
      <w:tblPr>
        <w:tblStyle w:val="4"/>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1704"/>
        <w:gridCol w:w="1324"/>
        <w:gridCol w:w="1096"/>
        <w:gridCol w:w="874"/>
        <w:gridCol w:w="860"/>
        <w:gridCol w:w="939"/>
        <w:gridCol w:w="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483"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序号</w:t>
            </w:r>
          </w:p>
        </w:tc>
        <w:tc>
          <w:tcPr>
            <w:tcW w:w="999"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产品名称</w:t>
            </w:r>
          </w:p>
        </w:tc>
        <w:tc>
          <w:tcPr>
            <w:tcW w:w="777" w:type="pct"/>
            <w:vAlign w:val="center"/>
          </w:tcPr>
          <w:p>
            <w:pPr>
              <w:spacing w:line="400" w:lineRule="exact"/>
              <w:jc w:val="center"/>
              <w:rPr>
                <w:rFonts w:asciiTheme="minorHAnsi" w:hAnsiTheme="minorHAnsi" w:eastAsiaTheme="minorEastAsia"/>
                <w:b/>
                <w:bCs/>
                <w:color w:val="auto"/>
                <w:sz w:val="21"/>
                <w:szCs w:val="21"/>
                <w:highlight w:val="none"/>
              </w:rPr>
            </w:pPr>
            <w:r>
              <w:rPr>
                <w:rFonts w:hint="eastAsia" w:asciiTheme="minorHAnsi" w:hAnsiTheme="minorHAnsi" w:eastAsiaTheme="minorEastAsia"/>
                <w:b/>
                <w:bCs/>
                <w:color w:val="auto"/>
                <w:sz w:val="21"/>
                <w:szCs w:val="21"/>
                <w:highlight w:val="none"/>
                <w:lang w:val="en-US" w:eastAsia="zh-CN"/>
              </w:rPr>
              <w:t>品牌</w:t>
            </w:r>
            <w:r>
              <w:rPr>
                <w:rFonts w:asciiTheme="minorHAnsi" w:hAnsiTheme="minorHAnsi" w:eastAsiaTheme="minorEastAsia"/>
                <w:b/>
                <w:bCs/>
                <w:color w:val="auto"/>
                <w:sz w:val="21"/>
                <w:szCs w:val="21"/>
                <w:highlight w:val="none"/>
              </w:rPr>
              <w:t>型号</w:t>
            </w:r>
          </w:p>
        </w:tc>
        <w:tc>
          <w:tcPr>
            <w:tcW w:w="643" w:type="pct"/>
            <w:vAlign w:val="center"/>
          </w:tcPr>
          <w:p>
            <w:pPr>
              <w:spacing w:line="400" w:lineRule="exact"/>
              <w:jc w:val="center"/>
              <w:rPr>
                <w:rFonts w:hint="default" w:asciiTheme="minorHAnsi" w:hAnsiTheme="minorHAnsi" w:eastAsiaTheme="minorEastAsia"/>
                <w:b/>
                <w:bCs/>
                <w:color w:val="auto"/>
                <w:sz w:val="21"/>
                <w:szCs w:val="21"/>
                <w:highlight w:val="none"/>
                <w:lang w:val="en-US" w:eastAsia="zh-CN"/>
              </w:rPr>
            </w:pPr>
            <w:r>
              <w:rPr>
                <w:rFonts w:hint="eastAsia" w:asciiTheme="minorHAnsi" w:hAnsiTheme="minorHAnsi" w:eastAsiaTheme="minorEastAsia"/>
                <w:b/>
                <w:bCs/>
                <w:color w:val="auto"/>
                <w:sz w:val="21"/>
                <w:szCs w:val="21"/>
                <w:highlight w:val="none"/>
                <w:lang w:val="en-US" w:eastAsia="zh-CN"/>
              </w:rPr>
              <w:t>生产厂家</w:t>
            </w:r>
          </w:p>
        </w:tc>
        <w:tc>
          <w:tcPr>
            <w:tcW w:w="513"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数量</w:t>
            </w:r>
          </w:p>
        </w:tc>
        <w:tc>
          <w:tcPr>
            <w:tcW w:w="505"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单价</w:t>
            </w:r>
          </w:p>
        </w:tc>
        <w:tc>
          <w:tcPr>
            <w:tcW w:w="551"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总价</w:t>
            </w:r>
          </w:p>
        </w:tc>
        <w:tc>
          <w:tcPr>
            <w:tcW w:w="526" w:type="pct"/>
            <w:vAlign w:val="center"/>
          </w:tcPr>
          <w:p>
            <w:pPr>
              <w:spacing w:line="400" w:lineRule="exact"/>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3" w:type="pct"/>
            <w:vAlign w:val="center"/>
          </w:tcPr>
          <w:p>
            <w:pPr>
              <w:adjustRightInd w:val="0"/>
              <w:snapToGrid w:val="0"/>
              <w:jc w:val="center"/>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1</w:t>
            </w:r>
          </w:p>
        </w:tc>
        <w:tc>
          <w:tcPr>
            <w:tcW w:w="999" w:type="pct"/>
            <w:vAlign w:val="center"/>
          </w:tcPr>
          <w:p>
            <w:pPr>
              <w:adjustRightInd w:val="0"/>
              <w:snapToGrid w:val="0"/>
              <w:jc w:val="center"/>
              <w:rPr>
                <w:rFonts w:asciiTheme="minorHAnsi" w:hAnsiTheme="minorHAnsi" w:eastAsiaTheme="minorEastAsia"/>
                <w:color w:val="auto"/>
                <w:sz w:val="21"/>
                <w:szCs w:val="21"/>
                <w:highlight w:val="none"/>
              </w:rPr>
            </w:pPr>
          </w:p>
        </w:tc>
        <w:tc>
          <w:tcPr>
            <w:tcW w:w="777" w:type="pct"/>
            <w:vAlign w:val="center"/>
          </w:tcPr>
          <w:p>
            <w:pPr>
              <w:spacing w:line="400" w:lineRule="exact"/>
              <w:jc w:val="center"/>
              <w:rPr>
                <w:rFonts w:asciiTheme="minorHAnsi" w:hAnsiTheme="minorHAnsi" w:eastAsiaTheme="minorEastAsia"/>
                <w:color w:val="auto"/>
                <w:sz w:val="21"/>
                <w:szCs w:val="21"/>
                <w:highlight w:val="none"/>
              </w:rPr>
            </w:pPr>
          </w:p>
        </w:tc>
        <w:tc>
          <w:tcPr>
            <w:tcW w:w="643" w:type="pct"/>
            <w:vAlign w:val="center"/>
          </w:tcPr>
          <w:p>
            <w:pPr>
              <w:spacing w:line="400" w:lineRule="exact"/>
              <w:jc w:val="center"/>
              <w:rPr>
                <w:rFonts w:asciiTheme="minorHAnsi" w:hAnsiTheme="minorHAnsi" w:eastAsiaTheme="minorEastAsia"/>
                <w:color w:val="auto"/>
                <w:sz w:val="21"/>
                <w:szCs w:val="21"/>
                <w:highlight w:val="none"/>
              </w:rPr>
            </w:pPr>
          </w:p>
        </w:tc>
        <w:tc>
          <w:tcPr>
            <w:tcW w:w="513" w:type="pct"/>
            <w:vAlign w:val="center"/>
          </w:tcPr>
          <w:p>
            <w:pPr>
              <w:adjustRightInd w:val="0"/>
              <w:snapToGrid w:val="0"/>
              <w:jc w:val="center"/>
              <w:rPr>
                <w:rFonts w:asciiTheme="minorHAnsi" w:hAnsiTheme="minorHAnsi" w:eastAsiaTheme="minorEastAsia"/>
                <w:color w:val="auto"/>
                <w:sz w:val="21"/>
                <w:szCs w:val="21"/>
                <w:highlight w:val="none"/>
              </w:rPr>
            </w:pPr>
          </w:p>
        </w:tc>
        <w:tc>
          <w:tcPr>
            <w:tcW w:w="505" w:type="pct"/>
            <w:vAlign w:val="center"/>
          </w:tcPr>
          <w:p>
            <w:pPr>
              <w:autoSpaceDN w:val="0"/>
              <w:jc w:val="center"/>
              <w:textAlignment w:val="center"/>
              <w:rPr>
                <w:rFonts w:asciiTheme="minorHAnsi" w:hAnsiTheme="minorHAnsi" w:eastAsiaTheme="minorEastAsia"/>
                <w:color w:val="auto"/>
                <w:sz w:val="21"/>
                <w:szCs w:val="21"/>
                <w:highlight w:val="none"/>
              </w:rPr>
            </w:pPr>
          </w:p>
        </w:tc>
        <w:tc>
          <w:tcPr>
            <w:tcW w:w="551" w:type="pct"/>
            <w:vAlign w:val="center"/>
          </w:tcPr>
          <w:p>
            <w:pPr>
              <w:autoSpaceDN w:val="0"/>
              <w:jc w:val="center"/>
              <w:textAlignment w:val="center"/>
              <w:rPr>
                <w:rFonts w:asciiTheme="minorHAnsi" w:hAnsiTheme="minorHAnsi" w:eastAsiaTheme="minorEastAsia"/>
                <w:color w:val="auto"/>
                <w:sz w:val="21"/>
                <w:szCs w:val="21"/>
                <w:highlight w:val="none"/>
              </w:rPr>
            </w:pPr>
          </w:p>
        </w:tc>
        <w:tc>
          <w:tcPr>
            <w:tcW w:w="526" w:type="pct"/>
            <w:vAlign w:val="center"/>
          </w:tcPr>
          <w:p>
            <w:pPr>
              <w:autoSpaceDN w:val="0"/>
              <w:jc w:val="center"/>
              <w:textAlignment w:val="center"/>
              <w:rPr>
                <w:rFonts w:asciiTheme="minorHAnsi" w:hAnsiTheme="minorHAnsi" w:eastAsia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3" w:type="pct"/>
            <w:vAlign w:val="center"/>
          </w:tcPr>
          <w:p>
            <w:pPr>
              <w:adjustRightInd w:val="0"/>
              <w:snapToGrid w:val="0"/>
              <w:jc w:val="center"/>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w:t>
            </w:r>
          </w:p>
        </w:tc>
        <w:tc>
          <w:tcPr>
            <w:tcW w:w="999" w:type="pct"/>
            <w:vAlign w:val="center"/>
          </w:tcPr>
          <w:p>
            <w:pPr>
              <w:adjustRightInd w:val="0"/>
              <w:snapToGrid w:val="0"/>
              <w:jc w:val="center"/>
              <w:rPr>
                <w:rFonts w:asciiTheme="minorHAnsi" w:hAnsiTheme="minorHAnsi" w:eastAsiaTheme="minorEastAsia"/>
                <w:color w:val="auto"/>
                <w:sz w:val="21"/>
                <w:szCs w:val="21"/>
                <w:highlight w:val="none"/>
              </w:rPr>
            </w:pPr>
          </w:p>
        </w:tc>
        <w:tc>
          <w:tcPr>
            <w:tcW w:w="777" w:type="pct"/>
            <w:vAlign w:val="center"/>
          </w:tcPr>
          <w:p>
            <w:pPr>
              <w:jc w:val="center"/>
              <w:rPr>
                <w:rFonts w:asciiTheme="minorHAnsi" w:hAnsiTheme="minorHAnsi" w:eastAsiaTheme="minorEastAsia"/>
                <w:color w:val="auto"/>
                <w:sz w:val="21"/>
                <w:szCs w:val="21"/>
                <w:highlight w:val="none"/>
              </w:rPr>
            </w:pPr>
          </w:p>
        </w:tc>
        <w:tc>
          <w:tcPr>
            <w:tcW w:w="643" w:type="pct"/>
            <w:vAlign w:val="center"/>
          </w:tcPr>
          <w:p>
            <w:pPr>
              <w:spacing w:line="400" w:lineRule="exact"/>
              <w:jc w:val="center"/>
              <w:rPr>
                <w:rFonts w:asciiTheme="minorHAnsi" w:hAnsiTheme="minorHAnsi" w:eastAsiaTheme="minorEastAsia"/>
                <w:color w:val="auto"/>
                <w:sz w:val="21"/>
                <w:szCs w:val="21"/>
                <w:highlight w:val="none"/>
              </w:rPr>
            </w:pPr>
          </w:p>
        </w:tc>
        <w:tc>
          <w:tcPr>
            <w:tcW w:w="513" w:type="pct"/>
            <w:vAlign w:val="center"/>
          </w:tcPr>
          <w:p>
            <w:pPr>
              <w:adjustRightInd w:val="0"/>
              <w:snapToGrid w:val="0"/>
              <w:jc w:val="center"/>
              <w:rPr>
                <w:rFonts w:asciiTheme="minorHAnsi" w:hAnsiTheme="minorHAnsi" w:eastAsiaTheme="minorEastAsia"/>
                <w:color w:val="auto"/>
                <w:sz w:val="21"/>
                <w:szCs w:val="21"/>
                <w:highlight w:val="none"/>
              </w:rPr>
            </w:pPr>
          </w:p>
        </w:tc>
        <w:tc>
          <w:tcPr>
            <w:tcW w:w="505" w:type="pct"/>
            <w:vAlign w:val="center"/>
          </w:tcPr>
          <w:p>
            <w:pPr>
              <w:autoSpaceDN w:val="0"/>
              <w:jc w:val="center"/>
              <w:textAlignment w:val="center"/>
              <w:rPr>
                <w:rFonts w:asciiTheme="minorHAnsi" w:hAnsiTheme="minorHAnsi" w:eastAsiaTheme="minorEastAsia"/>
                <w:color w:val="auto"/>
                <w:sz w:val="21"/>
                <w:szCs w:val="21"/>
                <w:highlight w:val="none"/>
              </w:rPr>
            </w:pPr>
          </w:p>
        </w:tc>
        <w:tc>
          <w:tcPr>
            <w:tcW w:w="551" w:type="pct"/>
            <w:vAlign w:val="center"/>
          </w:tcPr>
          <w:p>
            <w:pPr>
              <w:autoSpaceDN w:val="0"/>
              <w:jc w:val="center"/>
              <w:textAlignment w:val="center"/>
              <w:rPr>
                <w:rFonts w:asciiTheme="minorHAnsi" w:hAnsiTheme="minorHAnsi" w:eastAsiaTheme="minorEastAsia"/>
                <w:color w:val="auto"/>
                <w:sz w:val="21"/>
                <w:szCs w:val="21"/>
                <w:highlight w:val="none"/>
              </w:rPr>
            </w:pPr>
          </w:p>
        </w:tc>
        <w:tc>
          <w:tcPr>
            <w:tcW w:w="526" w:type="pct"/>
            <w:vAlign w:val="center"/>
          </w:tcPr>
          <w:p>
            <w:pPr>
              <w:autoSpaceDN w:val="0"/>
              <w:jc w:val="center"/>
              <w:textAlignment w:val="center"/>
              <w:rPr>
                <w:rFonts w:asciiTheme="minorHAnsi" w:hAnsiTheme="minorHAnsi" w:eastAsiaTheme="minor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483" w:type="pct"/>
            <w:gridSpan w:val="2"/>
            <w:vAlign w:val="center"/>
          </w:tcPr>
          <w:p>
            <w:pPr>
              <w:adjustRightInd w:val="0"/>
              <w:snapToGrid w:val="0"/>
              <w:jc w:val="center"/>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总计（人民币/元）</w:t>
            </w:r>
          </w:p>
        </w:tc>
        <w:tc>
          <w:tcPr>
            <w:tcW w:w="3516" w:type="pct"/>
            <w:gridSpan w:val="6"/>
            <w:vAlign w:val="center"/>
          </w:tcPr>
          <w:p>
            <w:pPr>
              <w:adjustRightInd w:val="0"/>
              <w:snapToGrid w:val="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w:t>
            </w:r>
            <w:r>
              <w:rPr>
                <w:rFonts w:hint="eastAsia" w:asciiTheme="minorHAnsi" w:hAnsiTheme="minorHAnsi" w:eastAsiaTheme="minorEastAsia"/>
                <w:b/>
                <w:bCs/>
                <w:color w:val="auto"/>
                <w:sz w:val="21"/>
                <w:szCs w:val="21"/>
                <w:highlight w:val="none"/>
                <w:lang w:val="en-US" w:eastAsia="zh-CN"/>
              </w:rPr>
              <w:t xml:space="preserve">                </w:t>
            </w:r>
            <w:r>
              <w:rPr>
                <w:rFonts w:asciiTheme="minorHAnsi" w:hAnsiTheme="minorHAnsi" w:eastAsiaTheme="minorEastAsia"/>
                <w:b/>
                <w:bCs/>
                <w:color w:val="auto"/>
                <w:sz w:val="21"/>
                <w:szCs w:val="21"/>
                <w:highlight w:val="none"/>
              </w:rPr>
              <w:t>（大写）</w:t>
            </w:r>
          </w:p>
        </w:tc>
      </w:tr>
    </w:tbl>
    <w:p>
      <w:pPr>
        <w:kinsoku w:val="0"/>
        <w:spacing w:line="360" w:lineRule="auto"/>
        <w:ind w:firstLine="525" w:firstLineChars="250"/>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（参数附件说明）</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乙方负责按以上确定的产品规格、型号及配套内容进行供货，及时运到甲方指定交货地点安装调试，确保所有产品达到最佳运行状态，做好售后服务工作。</w:t>
      </w:r>
    </w:p>
    <w:p>
      <w:pPr>
        <w:spacing w:line="360" w:lineRule="auto"/>
        <w:ind w:firstLine="422" w:firstLineChars="20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二、合同价格</w:t>
      </w:r>
    </w:p>
    <w:p>
      <w:pPr>
        <w:kinsoku w:val="0"/>
        <w:spacing w:line="360" w:lineRule="auto"/>
        <w:ind w:firstLine="420" w:firstLineChars="200"/>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合同总价：人民币大写：</w:t>
      </w:r>
      <w:r>
        <w:rPr>
          <w:rFonts w:hint="eastAsia" w:asciiTheme="minorHAnsi" w:hAnsiTheme="minorHAnsi" w:eastAsiaTheme="minorEastAsia"/>
          <w:color w:val="auto"/>
          <w:sz w:val="21"/>
          <w:szCs w:val="21"/>
          <w:highlight w:val="none"/>
          <w:u w:val="single"/>
          <w:lang w:val="en-US" w:eastAsia="zh-CN"/>
        </w:rPr>
        <w:t xml:space="preserve">           </w:t>
      </w:r>
      <w:r>
        <w:rPr>
          <w:rFonts w:asciiTheme="minorHAnsi" w:hAnsiTheme="minorHAnsi" w:eastAsiaTheme="minorEastAsia"/>
          <w:b/>
          <w:bCs/>
          <w:color w:val="auto"/>
          <w:sz w:val="21"/>
          <w:szCs w:val="21"/>
          <w:highlight w:val="none"/>
        </w:rPr>
        <w:t>元；</w:t>
      </w:r>
      <w:r>
        <w:rPr>
          <w:rFonts w:asciiTheme="minorHAnsi" w:hAnsiTheme="minorHAnsi" w:eastAsiaTheme="minorEastAsia"/>
          <w:color w:val="auto"/>
          <w:sz w:val="21"/>
          <w:szCs w:val="21"/>
          <w:highlight w:val="none"/>
        </w:rPr>
        <w:t>￥</w:t>
      </w:r>
      <w:r>
        <w:rPr>
          <w:rFonts w:hint="eastAsia" w:asciiTheme="minorHAnsi" w:hAnsiTheme="minorHAnsi" w:eastAsiaTheme="minorEastAsia"/>
          <w:color w:val="auto"/>
          <w:sz w:val="21"/>
          <w:szCs w:val="21"/>
          <w:highlight w:val="none"/>
          <w:u w:val="single"/>
          <w:lang w:val="en-US" w:eastAsia="zh-CN"/>
        </w:rPr>
        <w:t xml:space="preserve">           </w:t>
      </w:r>
      <w:r>
        <w:rPr>
          <w:rFonts w:asciiTheme="minorHAnsi" w:hAnsiTheme="minorHAnsi" w:eastAsiaTheme="minorEastAsia"/>
          <w:color w:val="auto"/>
          <w:sz w:val="21"/>
          <w:szCs w:val="21"/>
          <w:highlight w:val="none"/>
        </w:rPr>
        <w:t>元。</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合同总价包括：所供货物、服务且验收合格的所有费用，包括出厂价、运杂费（含保险）、仓储保管费、安装调试费</w:t>
      </w:r>
      <w:r>
        <w:rPr>
          <w:rFonts w:hint="eastAsia" w:asciiTheme="minorHAnsi" w:hAnsiTheme="minorHAnsi" w:eastAsiaTheme="minorEastAsia"/>
          <w:color w:val="auto"/>
          <w:sz w:val="21"/>
          <w:szCs w:val="21"/>
          <w:highlight w:val="none"/>
          <w:lang w:eastAsia="zh-CN"/>
        </w:rPr>
        <w:t>（</w:t>
      </w:r>
      <w:r>
        <w:rPr>
          <w:rFonts w:hint="eastAsia" w:asciiTheme="minorHAnsi" w:hAnsiTheme="minorHAnsi" w:eastAsiaTheme="minorEastAsia"/>
          <w:color w:val="auto"/>
          <w:sz w:val="21"/>
          <w:szCs w:val="21"/>
          <w:highlight w:val="none"/>
          <w:lang w:val="en-US" w:eastAsia="zh-CN"/>
        </w:rPr>
        <w:t>如有</w:t>
      </w:r>
      <w:r>
        <w:rPr>
          <w:rFonts w:hint="eastAsia" w:asciiTheme="minorHAnsi" w:hAnsiTheme="minorHAnsi" w:eastAsiaTheme="minorEastAsia"/>
          <w:color w:val="auto"/>
          <w:sz w:val="21"/>
          <w:szCs w:val="21"/>
          <w:highlight w:val="none"/>
          <w:lang w:eastAsia="zh-CN"/>
        </w:rPr>
        <w:t>）</w:t>
      </w:r>
      <w:r>
        <w:rPr>
          <w:rFonts w:asciiTheme="minorHAnsi" w:hAnsiTheme="minorHAnsi" w:eastAsiaTheme="minorEastAsia"/>
          <w:color w:val="auto"/>
          <w:sz w:val="21"/>
          <w:szCs w:val="21"/>
          <w:highlight w:val="none"/>
        </w:rPr>
        <w:t>、检测费</w:t>
      </w:r>
      <w:r>
        <w:rPr>
          <w:rFonts w:hint="eastAsia" w:asciiTheme="minorHAnsi" w:hAnsiTheme="minorHAnsi" w:eastAsiaTheme="minorEastAsia"/>
          <w:color w:val="auto"/>
          <w:sz w:val="21"/>
          <w:szCs w:val="21"/>
          <w:highlight w:val="none"/>
          <w:lang w:eastAsia="zh-CN"/>
        </w:rPr>
        <w:t>（</w:t>
      </w:r>
      <w:r>
        <w:rPr>
          <w:rFonts w:hint="eastAsia" w:asciiTheme="minorHAnsi" w:hAnsiTheme="minorHAnsi" w:eastAsiaTheme="minorEastAsia"/>
          <w:color w:val="auto"/>
          <w:sz w:val="21"/>
          <w:szCs w:val="21"/>
          <w:highlight w:val="none"/>
          <w:lang w:val="en-US" w:eastAsia="zh-CN"/>
        </w:rPr>
        <w:t>如有</w:t>
      </w:r>
      <w:r>
        <w:rPr>
          <w:rFonts w:hint="eastAsia" w:asciiTheme="minorHAnsi" w:hAnsiTheme="minorHAnsi" w:eastAsiaTheme="minorEastAsia"/>
          <w:color w:val="auto"/>
          <w:sz w:val="21"/>
          <w:szCs w:val="21"/>
          <w:highlight w:val="none"/>
          <w:lang w:eastAsia="zh-CN"/>
        </w:rPr>
        <w:t>）</w:t>
      </w:r>
      <w:r>
        <w:rPr>
          <w:rFonts w:asciiTheme="minorHAnsi" w:hAnsiTheme="minorHAnsi" w:eastAsiaTheme="minorEastAsia"/>
          <w:color w:val="auto"/>
          <w:sz w:val="21"/>
          <w:szCs w:val="21"/>
          <w:highlight w:val="none"/>
        </w:rPr>
        <w:t>、人工费、利润、税费等其他一切相关费用；包括从产品供应地点到交货地点，且使产品具备使用条件的一切费用。合同总价不可变更，不受市场价变化的影响，不受实际数量变化的影响。</w:t>
      </w:r>
    </w:p>
    <w:p>
      <w:pPr>
        <w:spacing w:line="360" w:lineRule="auto"/>
        <w:ind w:firstLine="422" w:firstLineChars="20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三、款项支付</w:t>
      </w:r>
    </w:p>
    <w:p>
      <w:pPr>
        <w:adjustRightInd w:val="0"/>
        <w:snapToGrid w:val="0"/>
        <w:spacing w:line="360" w:lineRule="auto"/>
        <w:ind w:firstLine="420" w:firstLineChars="200"/>
        <w:rPr>
          <w:rFonts w:hint="eastAsia" w:asciiTheme="minorHAnsi" w:hAnsiTheme="minorHAnsi" w:eastAsiaTheme="minorEastAsia"/>
          <w:color w:val="auto"/>
          <w:sz w:val="21"/>
          <w:szCs w:val="21"/>
          <w:highlight w:val="none"/>
        </w:rPr>
      </w:pPr>
      <w:bookmarkStart w:id="3" w:name="OLE_LINK39"/>
      <w:r>
        <w:rPr>
          <w:rFonts w:hint="eastAsia" w:asciiTheme="minorHAnsi" w:hAnsiTheme="minorHAnsi" w:eastAsiaTheme="minorEastAsia"/>
          <w:color w:val="auto"/>
          <w:sz w:val="21"/>
          <w:szCs w:val="21"/>
          <w:highlight w:val="none"/>
          <w:lang w:val="en-US" w:eastAsia="zh-CN"/>
        </w:rPr>
        <w:t>全部器材到货安装并</w:t>
      </w:r>
      <w:r>
        <w:rPr>
          <w:rFonts w:hint="eastAsia" w:asciiTheme="minorHAnsi" w:hAnsiTheme="minorHAnsi" w:eastAsiaTheme="minorEastAsia"/>
          <w:color w:val="auto"/>
          <w:sz w:val="21"/>
          <w:szCs w:val="21"/>
          <w:highlight w:val="none"/>
        </w:rPr>
        <w:t>经采购人验收合格后</w:t>
      </w:r>
      <w:bookmarkEnd w:id="3"/>
      <w:r>
        <w:rPr>
          <w:rFonts w:hint="eastAsia" w:asciiTheme="minorHAnsi" w:hAnsiTheme="minorHAnsi" w:eastAsiaTheme="minorEastAsia"/>
          <w:color w:val="auto"/>
          <w:sz w:val="21"/>
          <w:szCs w:val="21"/>
          <w:highlight w:val="none"/>
        </w:rPr>
        <w:t>，达到付款条件起10 日内，支付合同总金额的 100%。。</w:t>
      </w:r>
    </w:p>
    <w:p>
      <w:pPr>
        <w:adjustRightInd w:val="0"/>
        <w:snapToGrid w:val="0"/>
        <w:spacing w:line="360" w:lineRule="auto"/>
        <w:ind w:firstLine="422" w:firstLineChars="20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四、交货条件</w:t>
      </w:r>
    </w:p>
    <w:p>
      <w:pPr>
        <w:kinsoku w:val="0"/>
        <w:spacing w:line="360" w:lineRule="auto"/>
        <w:ind w:firstLine="525" w:firstLineChars="250"/>
        <w:rPr>
          <w:rFonts w:hint="default" w:asciiTheme="minorHAnsi" w:hAnsiTheme="minorHAnsi" w:eastAsiaTheme="minorEastAsia"/>
          <w:color w:val="auto"/>
          <w:sz w:val="21"/>
          <w:szCs w:val="21"/>
          <w:highlight w:val="none"/>
          <w:u w:val="single"/>
          <w:lang w:val="en-US" w:eastAsia="zh-CN"/>
        </w:rPr>
      </w:pPr>
      <w:r>
        <w:rPr>
          <w:rFonts w:asciiTheme="minorHAnsi" w:hAnsiTheme="minorHAnsi" w:eastAsiaTheme="minorEastAsia"/>
          <w:color w:val="auto"/>
          <w:sz w:val="21"/>
          <w:szCs w:val="21"/>
          <w:highlight w:val="none"/>
        </w:rPr>
        <w:t>1、交货地点：</w:t>
      </w:r>
      <w:bookmarkStart w:id="4" w:name="OLE_LINK38"/>
      <w:r>
        <w:rPr>
          <w:rFonts w:hint="eastAsia" w:asciiTheme="minorHAnsi" w:hAnsiTheme="minorHAnsi" w:eastAsiaTheme="minorEastAsia"/>
          <w:color w:val="auto"/>
          <w:sz w:val="21"/>
          <w:szCs w:val="21"/>
          <w:highlight w:val="none"/>
          <w:u w:val="single"/>
          <w:lang w:val="zh-CN" w:eastAsia="zh-CN"/>
        </w:rPr>
        <w:t>采购人指定地点</w:t>
      </w:r>
      <w:bookmarkEnd w:id="4"/>
    </w:p>
    <w:p>
      <w:pPr>
        <w:kinsoku w:val="0"/>
        <w:spacing w:line="360" w:lineRule="auto"/>
        <w:ind w:firstLine="525" w:firstLineChars="250"/>
        <w:rPr>
          <w:rFonts w:hint="eastAsia" w:asciiTheme="minorHAnsi" w:hAnsiTheme="minorHAnsi" w:eastAsiaTheme="minorEastAsia"/>
          <w:color w:val="auto"/>
          <w:sz w:val="21"/>
          <w:szCs w:val="21"/>
          <w:highlight w:val="none"/>
          <w:lang w:val="zh-CN" w:eastAsia="zh-CN"/>
        </w:rPr>
      </w:pPr>
      <w:r>
        <w:rPr>
          <w:rFonts w:asciiTheme="minorHAnsi" w:hAnsiTheme="minorHAnsi" w:eastAsiaTheme="minorEastAsia"/>
          <w:color w:val="auto"/>
          <w:sz w:val="21"/>
          <w:szCs w:val="21"/>
          <w:highlight w:val="none"/>
        </w:rPr>
        <w:t>2、交货期：</w:t>
      </w:r>
      <w:bookmarkStart w:id="5" w:name="OLE_LINK12"/>
      <w:bookmarkStart w:id="6" w:name="OLE_LINK37"/>
      <w:r>
        <w:rPr>
          <w:rFonts w:hint="eastAsia" w:asciiTheme="minorHAnsi" w:hAnsiTheme="minorHAnsi" w:eastAsiaTheme="minorEastAsia"/>
          <w:color w:val="auto"/>
          <w:sz w:val="21"/>
          <w:szCs w:val="21"/>
          <w:highlight w:val="none"/>
          <w:u w:val="single"/>
          <w:lang w:val="zh-CN" w:eastAsia="zh-CN"/>
        </w:rPr>
        <w:t>自合同签订之日起</w:t>
      </w:r>
      <w:r>
        <w:rPr>
          <w:rFonts w:hint="eastAsia" w:asciiTheme="minorHAnsi" w:hAnsiTheme="minorHAnsi" w:eastAsiaTheme="minorEastAsia"/>
          <w:color w:val="auto"/>
          <w:sz w:val="21"/>
          <w:szCs w:val="21"/>
          <w:highlight w:val="none"/>
          <w:u w:val="single"/>
          <w:lang w:val="en-US" w:eastAsia="zh-CN"/>
        </w:rPr>
        <w:t>2</w:t>
      </w:r>
      <w:r>
        <w:rPr>
          <w:rFonts w:hint="eastAsia" w:asciiTheme="minorHAnsi" w:hAnsiTheme="minorHAnsi" w:eastAsiaTheme="minorEastAsia"/>
          <w:color w:val="auto"/>
          <w:sz w:val="21"/>
          <w:szCs w:val="21"/>
          <w:highlight w:val="none"/>
          <w:u w:val="single"/>
          <w:lang w:val="zh-CN" w:eastAsia="zh-CN"/>
        </w:rPr>
        <w:t>0日</w:t>
      </w:r>
      <w:bookmarkEnd w:id="5"/>
    </w:p>
    <w:bookmarkEnd w:id="6"/>
    <w:p>
      <w:pPr>
        <w:kinsoku w:val="0"/>
        <w:spacing w:line="360" w:lineRule="auto"/>
        <w:ind w:firstLine="525" w:firstLineChars="250"/>
        <w:rPr>
          <w:rFonts w:hint="default" w:asciiTheme="minorHAnsi" w:hAnsiTheme="minorHAnsi" w:eastAsiaTheme="minorEastAsia"/>
          <w:color w:val="auto"/>
          <w:sz w:val="21"/>
          <w:szCs w:val="21"/>
          <w:highlight w:val="none"/>
          <w:u w:val="single"/>
          <w:lang w:val="en-US" w:eastAsia="zh-CN"/>
        </w:rPr>
      </w:pPr>
      <w:r>
        <w:rPr>
          <w:rFonts w:asciiTheme="minorHAnsi" w:hAnsiTheme="minorHAnsi" w:eastAsiaTheme="minorEastAsia"/>
          <w:color w:val="auto"/>
          <w:sz w:val="21"/>
          <w:szCs w:val="21"/>
          <w:highlight w:val="none"/>
        </w:rPr>
        <w:t>3、质保期：</w:t>
      </w:r>
      <w:r>
        <w:rPr>
          <w:rFonts w:hint="eastAsia" w:asciiTheme="minorHAnsi" w:hAnsiTheme="minorHAnsi" w:eastAsiaTheme="minorEastAsia"/>
          <w:color w:val="auto"/>
          <w:sz w:val="21"/>
          <w:szCs w:val="21"/>
          <w:highlight w:val="none"/>
          <w:u w:val="single"/>
          <w:lang w:val="en-US" w:eastAsia="zh-CN"/>
        </w:rPr>
        <w:t>验收合格后3年。</w:t>
      </w:r>
    </w:p>
    <w:p>
      <w:pPr>
        <w:spacing w:line="360" w:lineRule="auto"/>
        <w:ind w:firstLine="422" w:firstLineChars="200"/>
        <w:rPr>
          <w:rFonts w:asciiTheme="minorHAnsi" w:hAnsiTheme="minorHAnsi" w:eastAsiaTheme="minorEastAsia"/>
          <w:color w:val="auto"/>
          <w:sz w:val="21"/>
          <w:szCs w:val="21"/>
          <w:highlight w:val="none"/>
        </w:rPr>
      </w:pPr>
      <w:r>
        <w:rPr>
          <w:rFonts w:asciiTheme="minorHAnsi" w:hAnsiTheme="minorHAnsi" w:eastAsiaTheme="minorEastAsia"/>
          <w:b/>
          <w:bCs/>
          <w:color w:val="auto"/>
          <w:sz w:val="21"/>
          <w:szCs w:val="21"/>
          <w:highlight w:val="none"/>
        </w:rPr>
        <w:t>五、运输方式：</w:t>
      </w:r>
      <w:r>
        <w:rPr>
          <w:rFonts w:asciiTheme="minorHAnsi" w:hAnsiTheme="minorHAnsi" w:eastAsiaTheme="minorEastAsia"/>
          <w:color w:val="auto"/>
          <w:sz w:val="21"/>
          <w:szCs w:val="21"/>
          <w:highlight w:val="none"/>
        </w:rPr>
        <w:t>根据产品特性，由乙方在保证产品质量的前提下，自行选择运输及包装方式，发生的一切费用全部由乙方承担。</w:t>
      </w:r>
    </w:p>
    <w:p>
      <w:pPr>
        <w:adjustRightInd w:val="0"/>
        <w:snapToGrid w:val="0"/>
        <w:spacing w:line="360" w:lineRule="auto"/>
        <w:ind w:firstLine="422" w:firstLineChars="20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六、质量保证</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1、乙方保证所有产品全部符合国家及行业强制性标准；</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2、乙方保证所提供的产品质量可靠，进货渠道正常，配置合理，技术性能完全满足采购文件要求；</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3、若产品所用原材料或加工工艺造成的质量和内外观缺陷问题，由乙方负责解决并承担费用。</w:t>
      </w:r>
      <w:r>
        <w:rPr>
          <w:rFonts w:hint="eastAsia" w:asciiTheme="minorHAnsi" w:hAnsiTheme="minorHAnsi" w:eastAsiaTheme="minorEastAsia"/>
          <w:color w:val="auto"/>
          <w:sz w:val="21"/>
          <w:szCs w:val="21"/>
          <w:highlight w:val="none"/>
          <w:lang w:eastAsia="zh-CN"/>
        </w:rPr>
        <w:t>（</w:t>
      </w:r>
      <w:r>
        <w:rPr>
          <w:rFonts w:asciiTheme="minorHAnsi" w:hAnsiTheme="minorHAnsi" w:eastAsiaTheme="minorEastAsia"/>
          <w:color w:val="auto"/>
          <w:sz w:val="21"/>
          <w:szCs w:val="21"/>
          <w:highlight w:val="none"/>
        </w:rPr>
        <w:t>卖方保证货物是全新的、未曾使用过的、以工艺及材料制造，并保证所供产品的完整性，本合同产品为成套供货，合同总价中已包括满足产品完整运行的附件，备件，配套件等，产品质量应符合国标标准和本合同附件的要求,卖方应随产品提供检验报告。</w:t>
      </w:r>
      <w:r>
        <w:rPr>
          <w:rFonts w:hint="eastAsia" w:asciiTheme="minorHAnsi" w:hAnsiTheme="minorHAnsi" w:eastAsiaTheme="minorEastAsia"/>
          <w:color w:val="auto"/>
          <w:sz w:val="21"/>
          <w:szCs w:val="21"/>
          <w:highlight w:val="none"/>
          <w:lang w:eastAsia="zh-CN"/>
        </w:rPr>
        <w:t>）</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4、产品性能未达到技术要求的，乙方限期内进行整改；整改仍达不到要求的，甲方有权解除合同，保留依法索赔的权利。</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5、质保期内若发生产品质量问题，卖方应立即免费解决；否则，甲方有权从剩余合同款中支付相关费用。</w:t>
      </w:r>
    </w:p>
    <w:p>
      <w:pPr>
        <w:adjustRightInd w:val="0"/>
        <w:snapToGrid w:val="0"/>
        <w:spacing w:line="360" w:lineRule="auto"/>
        <w:ind w:firstLine="314" w:firstLineChars="149"/>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七、安装、调试及技术服务</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1、技术资料包括：出厂检测报告、产品使用说明书、合格证等其它相关资料。</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2、质保期内免费维护，并免费提供备品、备件，更换故障部件、产品等，乙方在接到用户对所购产品进行维修的要求后，</w:t>
      </w:r>
      <w:r>
        <w:rPr>
          <w:rFonts w:hint="eastAsia" w:asciiTheme="minorHAnsi" w:hAnsiTheme="minorHAnsi" w:eastAsiaTheme="minorEastAsia"/>
          <w:color w:val="auto"/>
          <w:sz w:val="21"/>
          <w:szCs w:val="21"/>
          <w:highlight w:val="none"/>
          <w:lang w:val="en-US" w:eastAsia="zh-CN"/>
        </w:rPr>
        <w:t>24</w:t>
      </w:r>
      <w:r>
        <w:rPr>
          <w:rFonts w:asciiTheme="minorHAnsi" w:hAnsiTheme="minorHAnsi" w:eastAsiaTheme="minorEastAsia"/>
          <w:color w:val="auto"/>
          <w:sz w:val="21"/>
          <w:szCs w:val="21"/>
          <w:highlight w:val="none"/>
        </w:rPr>
        <w:t>小时内到用户现场进行维修服务，全部费用由乙方支付，若需将产品送回生产厂，由乙方支付维修产品所需的往返费用。</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3、乙方保证产品完全按采购单位要求提供，若达不到要求，乙方须及时跟甲方沟通协商更换产品，并按照再次验收合格时间相应延长该产品保修期。</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4、服务承诺：按投标文件中的服务承诺执行。</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5、所有产品的安装调试均由乙方负责，且在安装调试过程中出现的安全责任问题由乙方全权负责。</w:t>
      </w:r>
    </w:p>
    <w:p>
      <w:pPr>
        <w:tabs>
          <w:tab w:val="left" w:pos="5355"/>
        </w:tabs>
        <w:spacing w:line="360" w:lineRule="auto"/>
        <w:ind w:firstLine="443" w:firstLineChars="21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八、产品包装及环保要求</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本项目标的产品如需要包装或快递的，乙方须严格按照“关于印发《商品包装政府采购需求标准（试行）》、 《快递包装政府采购需求标准（试行）》的通知（财办库〔2020〕123号）”规定执行。</w:t>
      </w:r>
    </w:p>
    <w:p>
      <w:pPr>
        <w:tabs>
          <w:tab w:val="left" w:pos="5355"/>
        </w:tabs>
        <w:spacing w:line="360" w:lineRule="auto"/>
        <w:ind w:firstLine="443" w:firstLineChars="21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九、违约责任：</w:t>
      </w:r>
    </w:p>
    <w:p>
      <w:pPr>
        <w:spacing w:line="360" w:lineRule="auto"/>
        <w:ind w:firstLine="434" w:firstLineChars="207"/>
        <w:rPr>
          <w:rFonts w:hint="eastAsia" w:asciiTheme="minorHAnsi" w:hAnsiTheme="minorHAnsi" w:eastAsiaTheme="minorEastAsia"/>
          <w:color w:val="auto"/>
          <w:sz w:val="21"/>
          <w:szCs w:val="21"/>
          <w:highlight w:val="none"/>
        </w:rPr>
      </w:pPr>
      <w:bookmarkStart w:id="7" w:name="OLE_LINK16"/>
      <w:bookmarkStart w:id="8" w:name="OLE_LINK42"/>
      <w:r>
        <w:rPr>
          <w:rFonts w:hint="eastAsia" w:asciiTheme="minorHAnsi" w:hAnsiTheme="minorHAnsi" w:eastAsiaTheme="minorEastAsia"/>
          <w:color w:val="auto"/>
          <w:sz w:val="21"/>
          <w:szCs w:val="21"/>
          <w:highlight w:val="none"/>
        </w:rPr>
        <w:t>（1）按《中华人民共和国民法典》中的相关条款执行。</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（2）未按合同要求提供产品或设备质量不能满足技术要求，采购方有权终止合同，并保留追究中标方违约责任的权利。</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（3）时间迟延的，违约方按照每天0.1%向对方承担违约责任。产品质量问题违约的，除了按照迟延时间计算违约金外，另可以采取退货、换货等方式，由供方承担一切费用</w:t>
      </w:r>
      <w:bookmarkEnd w:id="7"/>
      <w:r>
        <w:rPr>
          <w:rFonts w:hint="eastAsia" w:asciiTheme="minorHAnsi" w:hAnsiTheme="minorHAnsi" w:eastAsiaTheme="minorEastAsia"/>
          <w:color w:val="auto"/>
          <w:sz w:val="21"/>
          <w:szCs w:val="21"/>
          <w:highlight w:val="none"/>
        </w:rPr>
        <w:t>。</w:t>
      </w:r>
    </w:p>
    <w:bookmarkEnd w:id="8"/>
    <w:p>
      <w:pPr>
        <w:spacing w:line="360" w:lineRule="auto"/>
        <w:ind w:firstLine="532"/>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十、产品验收</w:t>
      </w:r>
    </w:p>
    <w:p>
      <w:pPr>
        <w:spacing w:line="360" w:lineRule="auto"/>
        <w:ind w:firstLine="434" w:firstLineChars="207"/>
        <w:rPr>
          <w:rFonts w:hint="eastAsia" w:asciiTheme="minorHAnsi" w:hAnsiTheme="minorHAnsi" w:eastAsiaTheme="minorEastAsia"/>
          <w:color w:val="auto"/>
          <w:sz w:val="21"/>
          <w:szCs w:val="21"/>
          <w:highlight w:val="none"/>
          <w:lang w:val="zh-CN" w:eastAsia="zh-CN"/>
        </w:rPr>
      </w:pPr>
      <w:bookmarkStart w:id="9" w:name="OLE_LINK40"/>
      <w:r>
        <w:rPr>
          <w:rFonts w:hint="eastAsia" w:asciiTheme="minorHAnsi" w:hAnsiTheme="minorHAnsi" w:eastAsiaTheme="minorEastAsia"/>
          <w:color w:val="auto"/>
          <w:sz w:val="21"/>
          <w:szCs w:val="21"/>
          <w:highlight w:val="none"/>
          <w:lang w:val="zh-CN" w:eastAsia="zh-CN"/>
        </w:rPr>
        <w:t>（1）采购方根据合同要求进行验收,验收依据为合同文本、</w:t>
      </w:r>
      <w:r>
        <w:rPr>
          <w:rFonts w:hint="eastAsia" w:asciiTheme="minorHAnsi" w:hAnsiTheme="minorHAnsi" w:eastAsiaTheme="minorEastAsia"/>
          <w:color w:val="auto"/>
          <w:sz w:val="21"/>
          <w:szCs w:val="21"/>
          <w:highlight w:val="none"/>
          <w:lang w:val="en-US" w:eastAsia="zh-CN"/>
        </w:rPr>
        <w:t>谈判</w:t>
      </w:r>
      <w:r>
        <w:rPr>
          <w:rFonts w:hint="eastAsia" w:asciiTheme="minorHAnsi" w:hAnsiTheme="minorHAnsi" w:eastAsiaTheme="minorEastAsia"/>
          <w:color w:val="auto"/>
          <w:sz w:val="21"/>
          <w:szCs w:val="21"/>
          <w:highlight w:val="none"/>
          <w:lang w:val="zh-CN" w:eastAsia="zh-CN"/>
        </w:rPr>
        <w:t>文件、</w:t>
      </w:r>
      <w:r>
        <w:rPr>
          <w:rFonts w:hint="eastAsia" w:asciiTheme="minorHAnsi" w:hAnsiTheme="minorHAnsi" w:eastAsiaTheme="minorEastAsia"/>
          <w:color w:val="auto"/>
          <w:sz w:val="21"/>
          <w:szCs w:val="21"/>
          <w:highlight w:val="none"/>
          <w:lang w:val="en-US" w:eastAsia="zh-CN"/>
        </w:rPr>
        <w:t>响应</w:t>
      </w:r>
      <w:r>
        <w:rPr>
          <w:rFonts w:hint="eastAsia" w:asciiTheme="minorHAnsi" w:hAnsiTheme="minorHAnsi" w:eastAsiaTheme="minorEastAsia"/>
          <w:color w:val="auto"/>
          <w:sz w:val="21"/>
          <w:szCs w:val="21"/>
          <w:highlight w:val="none"/>
          <w:lang w:val="zh-CN" w:eastAsia="zh-CN"/>
        </w:rPr>
        <w:t>文件以及由双方约定的其他协议类文本。</w:t>
      </w:r>
    </w:p>
    <w:p>
      <w:pPr>
        <w:spacing w:line="360" w:lineRule="auto"/>
        <w:ind w:firstLine="434" w:firstLineChars="207"/>
        <w:rPr>
          <w:rFonts w:hint="eastAsia" w:asciiTheme="minorHAnsi" w:hAnsiTheme="minorHAnsi" w:eastAsiaTheme="minorEastAsia"/>
          <w:color w:val="auto"/>
          <w:sz w:val="21"/>
          <w:szCs w:val="21"/>
          <w:highlight w:val="none"/>
          <w:lang w:val="zh-CN" w:eastAsia="zh-CN"/>
        </w:rPr>
      </w:pPr>
      <w:r>
        <w:rPr>
          <w:rFonts w:hint="eastAsia" w:asciiTheme="minorHAnsi" w:hAnsiTheme="minorHAnsi" w:eastAsiaTheme="minorEastAsia"/>
          <w:color w:val="auto"/>
          <w:sz w:val="21"/>
          <w:szCs w:val="21"/>
          <w:highlight w:val="none"/>
          <w:lang w:eastAsia="zh-CN"/>
        </w:rPr>
        <w:t>（2）</w:t>
      </w:r>
      <w:r>
        <w:rPr>
          <w:rFonts w:hint="eastAsia" w:asciiTheme="minorHAnsi" w:hAnsiTheme="minorHAnsi" w:eastAsiaTheme="minorEastAsia"/>
          <w:color w:val="auto"/>
          <w:sz w:val="21"/>
          <w:szCs w:val="21"/>
          <w:highlight w:val="none"/>
          <w:lang w:val="zh-CN" w:eastAsia="zh-CN"/>
        </w:rPr>
        <w:t>验收合格后，填写验收单，并向采购方提交所有资料，以便使用单位日后管理和维护。</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（3）验收由采购方组织，</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方配合进行。</w:t>
      </w:r>
      <w:r>
        <w:rPr>
          <w:rFonts w:hint="eastAsia" w:asciiTheme="minorHAnsi" w:hAnsiTheme="minorHAnsi" w:eastAsiaTheme="minorEastAsia"/>
          <w:color w:val="auto"/>
          <w:sz w:val="21"/>
          <w:szCs w:val="21"/>
          <w:highlight w:val="none"/>
          <w:lang w:val="zh-CN"/>
        </w:rPr>
        <w:t>验收过程中所产生的费用由</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w:t>
      </w:r>
      <w:r>
        <w:rPr>
          <w:rFonts w:hint="eastAsia" w:asciiTheme="minorHAnsi" w:hAnsiTheme="minorHAnsi" w:eastAsiaTheme="minorEastAsia"/>
          <w:color w:val="auto"/>
          <w:sz w:val="21"/>
          <w:szCs w:val="21"/>
          <w:highlight w:val="none"/>
          <w:lang w:val="zh-CN"/>
        </w:rPr>
        <w:t>承担。</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（4）验收标准：按国家有关规定以及采购方</w:t>
      </w:r>
      <w:r>
        <w:rPr>
          <w:rFonts w:hint="eastAsia" w:asciiTheme="minorHAnsi" w:hAnsiTheme="minorHAnsi" w:eastAsiaTheme="minorEastAsia"/>
          <w:color w:val="auto"/>
          <w:sz w:val="21"/>
          <w:szCs w:val="21"/>
          <w:highlight w:val="none"/>
          <w:lang w:val="en-US" w:eastAsia="zh-CN"/>
        </w:rPr>
        <w:t>谈判</w:t>
      </w:r>
      <w:r>
        <w:rPr>
          <w:rFonts w:hint="eastAsia" w:asciiTheme="minorHAnsi" w:hAnsiTheme="minorHAnsi" w:eastAsiaTheme="minorEastAsia"/>
          <w:color w:val="auto"/>
          <w:sz w:val="21"/>
          <w:szCs w:val="21"/>
          <w:highlight w:val="none"/>
        </w:rPr>
        <w:t>文件的质量要求和技术指标、</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方的</w:t>
      </w:r>
      <w:r>
        <w:rPr>
          <w:rFonts w:hint="eastAsia" w:asciiTheme="minorHAnsi" w:hAnsiTheme="minorHAnsi" w:eastAsiaTheme="minorEastAsia"/>
          <w:color w:val="auto"/>
          <w:sz w:val="21"/>
          <w:szCs w:val="21"/>
          <w:highlight w:val="none"/>
          <w:lang w:val="en-US" w:eastAsia="zh-CN"/>
        </w:rPr>
        <w:t>响应</w:t>
      </w:r>
      <w:r>
        <w:rPr>
          <w:rFonts w:hint="eastAsia" w:asciiTheme="minorHAnsi" w:hAnsiTheme="minorHAnsi" w:eastAsiaTheme="minorEastAsia"/>
          <w:color w:val="auto"/>
          <w:sz w:val="21"/>
          <w:szCs w:val="21"/>
          <w:highlight w:val="none"/>
        </w:rPr>
        <w:t>文件及承诺与合同约定标准进行验收；采购方、</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方双方如对质量要求和技术指标的约定标准有相互抵触或异议的事项，由采购方在</w:t>
      </w:r>
      <w:r>
        <w:rPr>
          <w:rFonts w:hint="eastAsia" w:asciiTheme="minorHAnsi" w:hAnsiTheme="minorHAnsi" w:eastAsiaTheme="minorEastAsia"/>
          <w:color w:val="auto"/>
          <w:sz w:val="21"/>
          <w:szCs w:val="21"/>
          <w:highlight w:val="none"/>
          <w:lang w:val="en-US" w:eastAsia="zh-CN"/>
        </w:rPr>
        <w:t>谈判</w:t>
      </w:r>
      <w:r>
        <w:rPr>
          <w:rFonts w:hint="eastAsia" w:asciiTheme="minorHAnsi" w:hAnsiTheme="minorHAnsi" w:eastAsiaTheme="minorEastAsia"/>
          <w:color w:val="auto"/>
          <w:sz w:val="21"/>
          <w:szCs w:val="21"/>
          <w:highlight w:val="none"/>
        </w:rPr>
        <w:t>与</w:t>
      </w:r>
      <w:r>
        <w:rPr>
          <w:rFonts w:hint="eastAsia" w:asciiTheme="minorHAnsi" w:hAnsiTheme="minorHAnsi" w:eastAsiaTheme="minorEastAsia"/>
          <w:color w:val="auto"/>
          <w:sz w:val="21"/>
          <w:szCs w:val="21"/>
          <w:highlight w:val="none"/>
          <w:lang w:val="en-US" w:eastAsia="zh-CN"/>
        </w:rPr>
        <w:t>响应</w:t>
      </w:r>
      <w:r>
        <w:rPr>
          <w:rFonts w:hint="eastAsia" w:asciiTheme="minorHAnsi" w:hAnsiTheme="minorHAnsi" w:eastAsiaTheme="minorEastAsia"/>
          <w:color w:val="auto"/>
          <w:sz w:val="21"/>
          <w:szCs w:val="21"/>
          <w:highlight w:val="none"/>
        </w:rPr>
        <w:t>文件中按质量要求和技术指标比较优胜的原则确定该项的约定标准进行验收。</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(5）验收时如发现所交付的货物有短缺、次品、损坏或其它不符合标准及本合同规定之情形者，采购方应做出详尽的现场记录，或由采购方、</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方双方签署备忘录，此现场记录或备忘录可用作补充、缺失和更换损坏部件的有效证据，由此产生的时间延误与有关费用由</w:t>
      </w:r>
      <w:r>
        <w:rPr>
          <w:rFonts w:hint="eastAsia" w:asciiTheme="minorHAnsi" w:hAnsiTheme="minorHAnsi" w:eastAsiaTheme="minorEastAsia"/>
          <w:color w:val="auto"/>
          <w:sz w:val="21"/>
          <w:szCs w:val="21"/>
          <w:highlight w:val="none"/>
          <w:lang w:val="en-US" w:eastAsia="zh-CN"/>
        </w:rPr>
        <w:t>成交</w:t>
      </w:r>
      <w:r>
        <w:rPr>
          <w:rFonts w:hint="eastAsia" w:asciiTheme="minorHAnsi" w:hAnsiTheme="minorHAnsi" w:eastAsiaTheme="minorEastAsia"/>
          <w:color w:val="auto"/>
          <w:sz w:val="21"/>
          <w:szCs w:val="21"/>
          <w:highlight w:val="none"/>
        </w:rPr>
        <w:t>方承担，验收期限相应顺延。</w:t>
      </w:r>
    </w:p>
    <w:p>
      <w:pPr>
        <w:spacing w:line="360" w:lineRule="auto"/>
        <w:ind w:firstLine="434" w:firstLineChars="207"/>
        <w:rPr>
          <w:rFonts w:hint="eastAsia" w:asciiTheme="minorHAnsi" w:hAnsiTheme="minorHAnsi" w:eastAsiaTheme="minorEastAsia"/>
          <w:color w:val="auto"/>
          <w:sz w:val="21"/>
          <w:szCs w:val="21"/>
          <w:highlight w:val="none"/>
        </w:rPr>
      </w:pPr>
      <w:r>
        <w:rPr>
          <w:rFonts w:hint="eastAsia" w:asciiTheme="minorHAnsi" w:hAnsiTheme="minorHAnsi" w:eastAsiaTheme="minorEastAsia"/>
          <w:color w:val="auto"/>
          <w:sz w:val="21"/>
          <w:szCs w:val="21"/>
          <w:highlight w:val="none"/>
        </w:rPr>
        <w:t>（6）如质量验收合格，双方签署质量验收报告。</w:t>
      </w:r>
    </w:p>
    <w:bookmarkEnd w:id="9"/>
    <w:p>
      <w:pPr>
        <w:tabs>
          <w:tab w:val="left" w:pos="5355"/>
        </w:tabs>
        <w:spacing w:line="360" w:lineRule="auto"/>
        <w:ind w:firstLine="422" w:firstLineChars="200"/>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十一、合同争议的解决</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合同一经签订，不得随意变更、中止或终止。对确需变更、调整或者中止、终止合同的，应按规定履行相应的手续。</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合同执行中发生争议的，甲、乙双方应协商解决，协商达不成一致时，可向甲方所在地人民法院提起诉讼。</w:t>
      </w:r>
    </w:p>
    <w:p>
      <w:pPr>
        <w:tabs>
          <w:tab w:val="left" w:pos="5355"/>
        </w:tabs>
        <w:spacing w:line="360" w:lineRule="auto"/>
        <w:rPr>
          <w:rFonts w:asciiTheme="minorHAnsi" w:hAnsiTheme="minorHAnsi" w:eastAsiaTheme="minorEastAsia"/>
          <w:b/>
          <w:bCs/>
          <w:color w:val="auto"/>
          <w:sz w:val="21"/>
          <w:szCs w:val="21"/>
          <w:highlight w:val="none"/>
        </w:rPr>
      </w:pPr>
      <w:r>
        <w:rPr>
          <w:rFonts w:asciiTheme="minorHAnsi" w:hAnsiTheme="minorHAnsi" w:eastAsiaTheme="minorEastAsia"/>
          <w:b/>
          <w:bCs/>
          <w:color w:val="auto"/>
          <w:sz w:val="21"/>
          <w:szCs w:val="21"/>
          <w:highlight w:val="none"/>
        </w:rPr>
        <w:t>十二、其它事项</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1、甲、乙双方做为合同执行的主体，有义务及时完全履行合同。</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2、甲方使用部门代表签署合同，并随时监督合同履行情况。</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3、合同未尽事宜，由甲、乙双方协商，协商方案作为本合同不可分割的组成部分，与本合同具有同等法律效力。</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4、采购文件和乙方的</w:t>
      </w:r>
      <w:r>
        <w:rPr>
          <w:rFonts w:hint="eastAsia" w:asciiTheme="minorHAnsi" w:hAnsiTheme="minorHAnsi" w:eastAsiaTheme="minorEastAsia"/>
          <w:color w:val="auto"/>
          <w:sz w:val="21"/>
          <w:szCs w:val="21"/>
          <w:highlight w:val="none"/>
          <w:lang w:val="en-US" w:eastAsia="zh-CN"/>
        </w:rPr>
        <w:t>响应</w:t>
      </w:r>
      <w:r>
        <w:rPr>
          <w:rFonts w:asciiTheme="minorHAnsi" w:hAnsiTheme="minorHAnsi" w:eastAsiaTheme="minorEastAsia"/>
          <w:color w:val="auto"/>
          <w:sz w:val="21"/>
          <w:szCs w:val="21"/>
          <w:highlight w:val="none"/>
        </w:rPr>
        <w:t>文件以及合同附件均为合同不可分割的部分。</w:t>
      </w:r>
    </w:p>
    <w:p>
      <w:pPr>
        <w:spacing w:line="360" w:lineRule="auto"/>
        <w:ind w:firstLine="434" w:firstLineChars="207"/>
        <w:rPr>
          <w:rFonts w:asciiTheme="minorHAnsi" w:hAnsiTheme="minorHAnsi" w:eastAsiaTheme="minorEastAsia"/>
          <w:color w:val="auto"/>
          <w:sz w:val="21"/>
          <w:szCs w:val="21"/>
          <w:highlight w:val="none"/>
        </w:rPr>
      </w:pPr>
      <w:r>
        <w:rPr>
          <w:rFonts w:asciiTheme="minorHAnsi" w:hAnsiTheme="minorHAnsi" w:eastAsiaTheme="minorEastAsia"/>
          <w:color w:val="auto"/>
          <w:sz w:val="21"/>
          <w:szCs w:val="21"/>
          <w:highlight w:val="none"/>
        </w:rPr>
        <w:t>5、合同一式</w:t>
      </w:r>
      <w:r>
        <w:rPr>
          <w:rFonts w:hint="eastAsia" w:asciiTheme="minorHAnsi" w:hAnsiTheme="minorHAnsi" w:eastAsiaTheme="minorEastAsia"/>
          <w:color w:val="auto"/>
          <w:sz w:val="21"/>
          <w:szCs w:val="21"/>
          <w:highlight w:val="none"/>
          <w:lang w:val="en-US" w:eastAsia="zh-CN"/>
        </w:rPr>
        <w:t xml:space="preserve"> </w:t>
      </w:r>
      <w:r>
        <w:rPr>
          <w:rFonts w:hint="eastAsia" w:asciiTheme="minorHAnsi" w:hAnsiTheme="minorHAnsi" w:eastAsiaTheme="minorEastAsia"/>
          <w:color w:val="auto"/>
          <w:sz w:val="21"/>
          <w:szCs w:val="21"/>
          <w:highlight w:val="none"/>
          <w:u w:val="single"/>
          <w:lang w:val="en-US" w:eastAsia="zh-CN"/>
        </w:rPr>
        <w:t xml:space="preserve">  </w:t>
      </w:r>
      <w:r>
        <w:rPr>
          <w:rFonts w:asciiTheme="minorHAnsi" w:hAnsiTheme="minorHAnsi" w:eastAsiaTheme="minorEastAsia"/>
          <w:color w:val="auto"/>
          <w:sz w:val="21"/>
          <w:szCs w:val="21"/>
          <w:highlight w:val="none"/>
        </w:rPr>
        <w:t>份，甲方执</w:t>
      </w:r>
      <w:r>
        <w:rPr>
          <w:rFonts w:hint="eastAsia" w:asciiTheme="minorHAnsi" w:hAnsiTheme="minorHAnsi" w:eastAsiaTheme="minorEastAsia"/>
          <w:color w:val="auto"/>
          <w:sz w:val="21"/>
          <w:szCs w:val="21"/>
          <w:highlight w:val="none"/>
          <w:u w:val="single"/>
          <w:lang w:val="en-US" w:eastAsia="zh-CN"/>
        </w:rPr>
        <w:t xml:space="preserve">   </w:t>
      </w:r>
      <w:r>
        <w:rPr>
          <w:rFonts w:asciiTheme="minorHAnsi" w:hAnsiTheme="minorHAnsi" w:eastAsiaTheme="minorEastAsia"/>
          <w:color w:val="auto"/>
          <w:sz w:val="21"/>
          <w:szCs w:val="21"/>
          <w:highlight w:val="none"/>
        </w:rPr>
        <w:t>份、乙方</w:t>
      </w:r>
      <w:bookmarkStart w:id="10" w:name="OLE_LINK1"/>
      <w:r>
        <w:rPr>
          <w:rFonts w:asciiTheme="minorHAnsi" w:hAnsiTheme="minorHAnsi" w:eastAsiaTheme="minorEastAsia"/>
          <w:color w:val="auto"/>
          <w:sz w:val="21"/>
          <w:szCs w:val="21"/>
          <w:highlight w:val="none"/>
        </w:rPr>
        <w:t>执</w:t>
      </w:r>
      <w:bookmarkEnd w:id="10"/>
      <w:r>
        <w:rPr>
          <w:rFonts w:hint="eastAsia" w:asciiTheme="minorHAnsi" w:hAnsiTheme="minorHAnsi" w:eastAsiaTheme="minorEastAsia"/>
          <w:color w:val="auto"/>
          <w:sz w:val="21"/>
          <w:szCs w:val="21"/>
          <w:highlight w:val="none"/>
          <w:u w:val="single"/>
          <w:lang w:val="en-US" w:eastAsia="zh-CN"/>
        </w:rPr>
        <w:t xml:space="preserve">   </w:t>
      </w:r>
      <w:r>
        <w:rPr>
          <w:rFonts w:asciiTheme="minorHAnsi" w:hAnsiTheme="minorHAnsi" w:eastAsiaTheme="minorEastAsia"/>
          <w:color w:val="auto"/>
          <w:sz w:val="21"/>
          <w:szCs w:val="21"/>
          <w:highlight w:val="none"/>
        </w:rPr>
        <w:t>份。双方签字盖章后生效，合同执行完毕自动失效。（合同的服务承诺长期有效）。</w:t>
      </w:r>
    </w:p>
    <w:p>
      <w:pPr>
        <w:spacing w:line="360" w:lineRule="auto"/>
        <w:ind w:firstLine="420" w:firstLineChars="200"/>
      </w:pPr>
      <w:r>
        <w:rPr>
          <w:rFonts w:asciiTheme="minorHAnsi" w:hAnsiTheme="minorHAnsi" w:eastAsiaTheme="minorEastAsia"/>
          <w:color w:val="auto"/>
          <w:sz w:val="21"/>
          <w:szCs w:val="21"/>
          <w:highlight w:val="none"/>
        </w:rPr>
        <w:t>6、使用单位收货、验货人员：电话：_______</w:t>
      </w:r>
      <w:bookmarkStart w:id="11" w:name="_GoBack"/>
      <w:bookmarkEnd w:id="11"/>
      <w:r>
        <w:rPr>
          <w:rFonts w:asciiTheme="minorHAnsi" w:hAnsiTheme="minorHAnsi" w:eastAsiaTheme="minorEastAsia"/>
          <w:color w:val="auto"/>
          <w:sz w:val="21"/>
          <w:szCs w:val="21"/>
          <w:highlight w:val="none"/>
        </w:rPr>
        <w:t>________</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827abde2-38cb-4ca2-b6b5-083a808cb285"/>
  </w:docVars>
  <w:rsids>
    <w:rsidRoot w:val="6B1D7C5B"/>
    <w:rsid w:val="088722D5"/>
    <w:rsid w:val="203C098B"/>
    <w:rsid w:val="32DF4298"/>
    <w:rsid w:val="34EA0B46"/>
    <w:rsid w:val="3B7844CB"/>
    <w:rsid w:val="3DC56D68"/>
    <w:rsid w:val="3E2919ED"/>
    <w:rsid w:val="56066443"/>
    <w:rsid w:val="59723D50"/>
    <w:rsid w:val="5A9164F8"/>
    <w:rsid w:val="66862210"/>
    <w:rsid w:val="6B1D7C5B"/>
    <w:rsid w:val="705C6010"/>
    <w:rsid w:val="71A5490B"/>
    <w:rsid w:val="7A883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宋体"/>
      <w:kern w:val="2"/>
      <w:sz w:val="24"/>
      <w:szCs w:val="24"/>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36"/>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2408</Words>
  <Characters>2443</Characters>
  <Lines>0</Lines>
  <Paragraphs>0</Paragraphs>
  <TotalTime>0</TotalTime>
  <ScaleCrop>false</ScaleCrop>
  <LinksUpToDate>false</LinksUpToDate>
  <CharactersWithSpaces>2563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2024-07-31T01:57:00Z</dcterms:created>
  <dc:creator>朱娟</dc:creator>
  <cp:lastModifiedBy>难得一身好本领</cp:lastModifiedBy>
  <dcterms:modified xsi:type="dcterms:W3CDTF">2025-04-10T03:27:49Z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99B5114B208146AAB95A52B399911C09_13</vt:lpwstr>
  </property>
</Properties>
</file>