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版本号：ZCXG-ZB-2025018.3B120250424001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检验试剂及配套耗材采购项目(二次)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ZCXG-ZB-2025018.3B1</w:t>
      </w:r>
      <w:r>
        <w:br/>
      </w:r>
      <w:r>
        <w:br/>
      </w:r>
      <w:r>
        <w:br/>
      </w:r>
    </w:p>
    <w:p>
      <w:pPr>
        <w:pStyle w:val="null3"/>
        <w:jc w:val="center"/>
        <w:outlineLvl w:val="2"/>
      </w:pPr>
      <w:r>
        <w:rPr>
          <w:rFonts w:ascii="仿宋_GB2312" w:hAnsi="仿宋_GB2312" w:cs="仿宋_GB2312" w:eastAsia="仿宋_GB2312"/>
          <w:sz w:val="28"/>
          <w:b/>
        </w:rPr>
        <w:t>西安市雁塔区中医医院</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西安市雁塔区中医医院</w:t>
      </w:r>
      <w:r>
        <w:rPr>
          <w:rFonts w:ascii="仿宋_GB2312" w:hAnsi="仿宋_GB2312" w:cs="仿宋_GB2312" w:eastAsia="仿宋_GB2312"/>
        </w:rPr>
        <w:t>委托，拟对</w:t>
      </w:r>
      <w:r>
        <w:rPr>
          <w:rFonts w:ascii="仿宋_GB2312" w:hAnsi="仿宋_GB2312" w:cs="仿宋_GB2312" w:eastAsia="仿宋_GB2312"/>
        </w:rPr>
        <w:t>检验试剂及配套耗材采购项目(二次)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ZCXG-ZB-2025018.3B1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检验试剂及配套耗材采购项目(二次)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检验试剂及配套耗材采购项目(二次)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为制造厂商的须提供《医疗器械生产许可证》或《医疗器械生产备案凭证》及所投试剂《医疗器械注册证》（附批准文号）；供应商为代理商的须提供《医疗器械经营许可证》或《医疗器械经营备案凭证》及所投试剂《医疗器械注册证》（附批准文号）。</w:t>
      </w:r>
    </w:p>
    <w:p>
      <w:pPr>
        <w:pStyle w:val="null3"/>
      </w:pPr>
      <w:r>
        <w:rPr>
          <w:rFonts w:ascii="仿宋_GB2312" w:hAnsi="仿宋_GB2312" w:cs="仿宋_GB2312" w:eastAsia="仿宋_GB2312"/>
        </w:rPr>
        <w:t>5、非联合体：本项目不接受联合体投标。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西安市雁塔区长安南路495号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采购包1：631,583.00元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代理服务费收费标准：1、根据《国家发展改革委关于进-步放开建设项目专业服务价格的通知 》(发改价格[2015]299号)的有关规定执行。 代理费缴存账户：开户名称：陕西众诚项目管理有限公司 开户银行：中国建设银行股份有限公司西安八里村支行 账号：6105 0172 3700 0000 1337 行号：105791000282 （备注：项目名称包号+代理服务费） 2、中标单位在领取中标通知书前，须向采购代理机构一次性支付采购代理服务费。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西安市雁塔区中医医院</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检验试剂及配套耗材采购项目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631,583.00</w:t>
      </w:r>
    </w:p>
    <w:p>
      <w:pPr>
        <w:pStyle w:val="null3"/>
      </w:pPr>
      <w:r>
        <w:rPr>
          <w:rFonts w:ascii="仿宋_GB2312" w:hAnsi="仿宋_GB2312" w:cs="仿宋_GB2312" w:eastAsia="仿宋_GB2312"/>
        </w:rPr>
        <w:t>采购包最高限价（元）: 631,583.00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临床检验试剂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631,583.00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标的名称：临床检验试剂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9"/>
              <w:gridCol w:w="966"/>
              <w:gridCol w:w="539"/>
              <w:gridCol w:w="187"/>
            </w:tblGrid>
            <w:tr>
              <w:tc>
                <w:tcPr>
                  <w:tcW w:type="dxa" w:w="15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序号</w:t>
                  </w:r>
                </w:p>
              </w:tc>
              <w:tc>
                <w:tcPr>
                  <w:tcW w:type="dxa" w:w="9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产品名称</w:t>
                  </w:r>
                </w:p>
              </w:tc>
              <w:tc>
                <w:tcPr>
                  <w:tcW w:type="dxa" w:w="5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规格</w:t>
                  </w:r>
                </w:p>
              </w:tc>
              <w:tc>
                <w:tcPr>
                  <w:tcW w:type="dxa" w:w="1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单位</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赛科希德毛细管清洗维护液</w:t>
                  </w:r>
                  <w:r>
                    <w:rPr>
                      <w:rFonts w:ascii="仿宋_GB2312" w:hAnsi="仿宋_GB2312" w:cs="仿宋_GB2312" w:eastAsia="仿宋_GB2312"/>
                      <w:sz w:val="32"/>
                      <w:color w:val="000000"/>
                    </w:rPr>
                    <w:t>SAWM</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赛科希德血流变清洗液</w:t>
                  </w:r>
                  <w:r>
                    <w:rPr>
                      <w:rFonts w:ascii="仿宋_GB2312" w:hAnsi="仿宋_GB2312" w:cs="仿宋_GB2312" w:eastAsia="仿宋_GB2312"/>
                      <w:sz w:val="32"/>
                      <w:color w:val="000000"/>
                    </w:rPr>
                    <w:t>SAWT</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4L*4</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赛科希德加样针清洗维护液</w:t>
                  </w:r>
                  <w:r>
                    <w:rPr>
                      <w:rFonts w:ascii="仿宋_GB2312" w:hAnsi="仿宋_GB2312" w:cs="仿宋_GB2312" w:eastAsia="仿宋_GB2312"/>
                      <w:sz w:val="32"/>
                      <w:color w:val="000000"/>
                    </w:rPr>
                    <w:t>SAWZ</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nNF非牛顿流体质控物</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nNF非牛顿流体质控物</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100ml 带靶值</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血流变加样针清洗维护液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纤维蛋白原测定试剂（凝固法）</w:t>
                  </w:r>
                  <w:r>
                    <w:rPr>
                      <w:rFonts w:ascii="仿宋_GB2312" w:hAnsi="仿宋_GB2312" w:cs="仿宋_GB2312" w:eastAsia="仿宋_GB2312"/>
                      <w:sz w:val="32"/>
                      <w:color w:val="000000"/>
                    </w:rPr>
                    <w:t>FIB</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凝血酶时间测定试剂盒（凝固法）</w:t>
                  </w:r>
                  <w:r>
                    <w:rPr>
                      <w:rFonts w:ascii="仿宋_GB2312" w:hAnsi="仿宋_GB2312" w:cs="仿宋_GB2312" w:eastAsia="仿宋_GB2312"/>
                      <w:sz w:val="32"/>
                      <w:color w:val="000000"/>
                    </w:rPr>
                    <w:t>TT（进口）</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5ml*10</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凝血质控品（</w:t>
                  </w:r>
                  <w:r>
                    <w:rPr>
                      <w:rFonts w:ascii="仿宋_GB2312" w:hAnsi="仿宋_GB2312" w:cs="仿宋_GB2312" w:eastAsia="仿宋_GB2312"/>
                      <w:sz w:val="32"/>
                      <w:color w:val="000000"/>
                    </w:rPr>
                    <w:t>Ci-Tro12）异常值</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凝血质控品（</w:t>
                  </w:r>
                  <w:r>
                    <w:rPr>
                      <w:rFonts w:ascii="仿宋_GB2312" w:hAnsi="仿宋_GB2312" w:cs="仿宋_GB2312" w:eastAsia="仿宋_GB2312"/>
                      <w:sz w:val="32"/>
                      <w:color w:val="000000"/>
                    </w:rPr>
                    <w:t>Ci-Tro11）正常值</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缓冲液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血细胞分析用稀释液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血细胞分析用溶血剂（</w:t>
                  </w:r>
                  <w:r>
                    <w:rPr>
                      <w:rFonts w:ascii="仿宋_GB2312" w:hAnsi="仿宋_GB2312" w:cs="仿宋_GB2312" w:eastAsia="仿宋_GB2312"/>
                      <w:sz w:val="32"/>
                      <w:color w:val="000000"/>
                    </w:rPr>
                    <w:t>SLS）</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血细胞分析用溶血剂（</w:t>
                  </w:r>
                  <w:r>
                    <w:rPr>
                      <w:rFonts w:ascii="仿宋_GB2312" w:hAnsi="仿宋_GB2312" w:cs="仿宋_GB2312" w:eastAsia="仿宋_GB2312"/>
                      <w:sz w:val="32"/>
                      <w:color w:val="000000"/>
                    </w:rPr>
                    <w:t>4DL）</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血细胞分析用溶血剂（</w:t>
                  </w:r>
                  <w:r>
                    <w:rPr>
                      <w:rFonts w:ascii="仿宋_GB2312" w:hAnsi="仿宋_GB2312" w:cs="仿宋_GB2312" w:eastAsia="仿宋_GB2312"/>
                      <w:sz w:val="32"/>
                      <w:color w:val="000000"/>
                    </w:rPr>
                    <w:t>FBA）</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血细胞分析用染色液（</w:t>
                  </w:r>
                  <w:r>
                    <w:rPr>
                      <w:rFonts w:ascii="仿宋_GB2312" w:hAnsi="仿宋_GB2312" w:cs="仿宋_GB2312" w:eastAsia="仿宋_GB2312"/>
                      <w:sz w:val="32"/>
                      <w:color w:val="000000"/>
                    </w:rPr>
                    <w:t>4DS）</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42ML*3</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血细胞分析用溶血剂（三分类）</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活化部分凝血活酶时间测定试剂（凝固法）</w:t>
                  </w:r>
                  <w:r>
                    <w:rPr>
                      <w:rFonts w:ascii="仿宋_GB2312" w:hAnsi="仿宋_GB2312" w:cs="仿宋_GB2312" w:eastAsia="仿宋_GB2312"/>
                      <w:sz w:val="32"/>
                      <w:color w:val="000000"/>
                    </w:rPr>
                    <w:t>APTT（进口）</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2ml*10</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血球质控品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1.5ML*5</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交叉配血质控品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5ml*6支 带靶值</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氯化钙溶液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凝四校准品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10*1ml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凝血酶原时间测定试剂盒（凝固法）</w:t>
                  </w:r>
                  <w:r>
                    <w:rPr>
                      <w:rFonts w:ascii="仿宋_GB2312" w:hAnsi="仿宋_GB2312" w:cs="仿宋_GB2312" w:eastAsia="仿宋_GB2312"/>
                      <w:sz w:val="32"/>
                      <w:color w:val="000000"/>
                    </w:rPr>
                    <w:t>PT（进口）</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4ml*10</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尿液分析试纸条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H11-II 100条/筒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尿液干化学分析质控物（阳性）</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清洗液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人绒毛膜促性腺激素</w:t>
                  </w:r>
                  <w:r>
                    <w:rPr>
                      <w:rFonts w:ascii="仿宋_GB2312" w:hAnsi="仿宋_GB2312" w:cs="仿宋_GB2312" w:eastAsia="仿宋_GB2312"/>
                      <w:sz w:val="32"/>
                      <w:color w:val="000000"/>
                    </w:rPr>
                    <w:t>(HCG)检测试纸(金法）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100人份/盒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人份</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诺如病毒测定试剂盒</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20人份/盒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微孔（制水机耗材）</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5'5U</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预处理</w:t>
                  </w:r>
                  <w:r>
                    <w:rPr>
                      <w:rFonts w:ascii="仿宋_GB2312" w:hAnsi="仿宋_GB2312" w:cs="仿宋_GB2312" w:eastAsia="仿宋_GB2312"/>
                      <w:sz w:val="32"/>
                      <w:color w:val="000000"/>
                    </w:rPr>
                    <w:t>(制水机耗材)</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10英寸</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套</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反渗膜（制水机耗材）</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2012</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肺炎支原体</w:t>
                  </w:r>
                  <w:r>
                    <w:rPr>
                      <w:rFonts w:ascii="仿宋_GB2312" w:hAnsi="仿宋_GB2312" w:cs="仿宋_GB2312" w:eastAsia="仿宋_GB2312"/>
                      <w:sz w:val="32"/>
                      <w:color w:val="000000"/>
                    </w:rPr>
                    <w:t>IgM抗体检测盒</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20T</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肺炎支原体</w:t>
                  </w:r>
                  <w:r>
                    <w:rPr>
                      <w:rFonts w:ascii="仿宋_GB2312" w:hAnsi="仿宋_GB2312" w:cs="仿宋_GB2312" w:eastAsia="仿宋_GB2312"/>
                      <w:sz w:val="32"/>
                      <w:color w:val="000000"/>
                    </w:rPr>
                    <w:t>IgG抗体检测盒</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20T</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细菌性阴道病联合测定试剂盒（化学反应法）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20人份/盒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血型鉴定及不规则抗体筛查质控品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5ml*2支 带靶值</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接到采购人通知后2天内提供最新生产的产品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1、服务期:1年。 2、交货期:接到采购人通知后2天内提供最新生产的产品。3、质保期:根据相应货物实际情况和相关规定执行。4、交货地点:采购人指定地点。5、付款方式:合同签订后，采购人根据产品验收情况和绩效评价结果每半年据实结算一次。 6、本项目报价形式为报单价之和;开标一览表及标的清单填写采购包预算金额，单价之和金额填写在报价一览表。 (招标文件与此7项有异议的，以3.5其他要求为准)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制造厂商的须提供《医疗器械生产许可证》或《医疗器械生产备案凭证》及所投试剂《医疗器械注册证》（附批准文号）；供应商为代理商的须提供《医疗器械经营许可证》或《医疗器械经营备案凭证》及所投试剂《医疗器械注册证》（附批准文号）。</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报价一览表.docx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投标产品技术指标及功能评审内容</w:t>
            </w:r>
          </w:p>
        </w:tc>
        <w:tc>
          <w:tcPr>
            <w:tcW w:type="dxa" w:w="2492"/>
          </w:tcPr>
          <w:p>
            <w:pPr>
              <w:pStyle w:val="null3"/>
            </w:pPr>
            <w:r>
              <w:rPr>
                <w:rFonts w:ascii="仿宋_GB2312" w:hAnsi="仿宋_GB2312" w:cs="仿宋_GB2312" w:eastAsia="仿宋_GB2312"/>
              </w:rPr>
              <w:t>依据各投标人响应的投标产品参数要求及产品经营授权书等情况进行评审：满足全部参数要求的计20分；每一项负偏离扣 1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提供的配送服务方案及承诺： 服务计划全面、有明确的响应行间、配送服务方案科学合理，高效可行，得（9-15]分； 服务计划一般，响应时间较长、配送方案一般的，得(4-9]分； 服务计划差，响应时间慢，配送方案差或未提供的，得[0-4)分；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特殊应急情况方案</w:t>
            </w:r>
          </w:p>
        </w:tc>
        <w:tc>
          <w:tcPr>
            <w:tcW w:type="dxa" w:w="2492"/>
          </w:tcPr>
          <w:p>
            <w:pPr>
              <w:pStyle w:val="null3"/>
            </w:pPr>
            <w:r>
              <w:rPr>
                <w:rFonts w:ascii="仿宋_GB2312" w:hAnsi="仿宋_GB2312" w:cs="仿宋_GB2312" w:eastAsia="仿宋_GB2312"/>
              </w:rPr>
              <w:t>特殊应急情况措施全面、详细,服务承诺切实可行,出现产品质量问题退换货方案及处理方式科学合理,高效可行的,得(7-10]分； 特殊应急情况措施一般,服务承诺较合理,出现产品质量问题退换货方案及处理方式一般的，得(4-7]； 特殊应急情况措施较差,出现产品质量问题退换货方案及处理方式较差或未提供的，得[0-4]分；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 产品的技术证明材料完整、来源渠道正规、质量保证措施完善，得(7-10]分；产品的技术证明材料基本完整、来源渠道正规、质量保证措施基本完善，得(4-7]分； 产品技术证明材料不全或质量保证措施不够完善，得[0-4]分。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供应商提供售后服务的能力，服务便利、及时性及保证性等： 具有完善的售后服务计划及内容，能够为采购方后期服务提供强有力的保障，得(7-10]分； 售后服务计划及内容一般,保障力度一般的,得（4-7]分； 售后服务计划及内容较差,保障力度较差或未提供的,得[0-4)分；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供应商提供自2022年4月1日至今，供应商的类似项目业绩（以合同复印件为准），每提供1份得1分，最高得5分。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