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版本号：SXZHZC2025-CS23120250424001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固定资产盘点服务项目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SXZHZC2025-CS231</w:t>
      </w:r>
      <w:r>
        <w:br/>
      </w:r>
      <w:r>
        <w:br/>
      </w:r>
      <w:r>
        <w:br/>
      </w:r>
    </w:p>
    <w:p>
      <w:pPr>
        <w:pStyle w:val="null3"/>
        <w:jc w:val="center"/>
        <w:outlineLvl w:val="2"/>
      </w:pPr>
      <w:r>
        <w:rPr>
          <w:rFonts w:ascii="仿宋_GB2312" w:hAnsi="仿宋_GB2312" w:cs="仿宋_GB2312" w:eastAsia="仿宋_GB2312"/>
          <w:sz w:val="28"/>
          <w:b/>
        </w:rPr>
        <w:t>西安市公安局雁塔分局</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西安市公安局雁塔分局</w:t>
      </w:r>
      <w:r>
        <w:rPr>
          <w:rFonts w:ascii="仿宋_GB2312" w:hAnsi="仿宋_GB2312" w:cs="仿宋_GB2312" w:eastAsia="仿宋_GB2312"/>
        </w:rPr>
        <w:t>委托，拟对</w:t>
      </w:r>
      <w:r>
        <w:rPr>
          <w:rFonts w:ascii="仿宋_GB2312" w:hAnsi="仿宋_GB2312" w:cs="仿宋_GB2312" w:eastAsia="仿宋_GB2312"/>
        </w:rPr>
        <w:t>固定资产盘点服务项目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SXZHZC2025-CS231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固定资产盘点服务项目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雁塔分局固定资产盘点。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采购包1（固定资产盘点服务项目）：属于专门面向中小企业采购。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西安市公安局雁塔分局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雁塔区翠华路333号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18591898230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029-85241400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代理服务费收费标准：定额收取人民币捌仟元整（￥8000.00） 成交供应商在领取成交通知书前，须向采购代理机构一次性支付招标代理服务费。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西安市公安局雁塔分局</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西安市公安局雁塔分局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西安市公安局雁塔分局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按合同要求，按标准完成。</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联系人：赵钰</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雁塔分局固定资产盘点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260,000.00</w:t>
      </w:r>
    </w:p>
    <w:p>
      <w:pPr>
        <w:pStyle w:val="null3"/>
      </w:pPr>
      <w:r>
        <w:rPr>
          <w:rFonts w:ascii="仿宋_GB2312" w:hAnsi="仿宋_GB2312" w:cs="仿宋_GB2312" w:eastAsia="仿宋_GB2312"/>
        </w:rPr>
        <w:t>采购包最高限价（元）: 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固定资产盘点服务项目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标的名称：固定资产盘点服务项目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860"/>
            </w:tblGrid>
            <w:tr>
              <w:tc>
                <w:tcPr>
                  <w:tcW w:type="dxa" w:w="186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rPr>
                    <w:t>技术参数与性能指标</w:t>
                  </w:r>
                </w:p>
              </w:tc>
            </w:tr>
            <w:tr>
              <w:tc>
                <w:tcPr>
                  <w:tcW w:type="dxa" w:w="18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ind w:firstLine="482"/>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雁塔分局固定资产盘点</w:t>
                  </w:r>
                </w:p>
                <w:p>
                  <w:pPr>
                    <w:pStyle w:val="null3"/>
                    <w:ind w:firstLine="482"/>
                    <w:jc w:val="both"/>
                  </w:pPr>
                  <w:r>
                    <w:rPr>
                      <w:rFonts w:ascii="仿宋_GB2312" w:hAnsi="仿宋_GB2312" w:cs="仿宋_GB2312" w:eastAsia="仿宋_GB2312"/>
                      <w:sz w:val="24"/>
                      <w:b/>
                    </w:rPr>
                    <w:t>二、服务内容</w:t>
                  </w:r>
                </w:p>
                <w:p>
                  <w:pPr>
                    <w:pStyle w:val="null3"/>
                    <w:ind w:firstLine="480"/>
                    <w:jc w:val="both"/>
                  </w:pPr>
                  <w:r>
                    <w:rPr>
                      <w:rFonts w:ascii="仿宋_GB2312" w:hAnsi="仿宋_GB2312" w:cs="仿宋_GB2312" w:eastAsia="仿宋_GB2312"/>
                      <w:sz w:val="24"/>
                    </w:rPr>
                    <w:t>对</w:t>
                  </w:r>
                  <w:r>
                    <w:rPr>
                      <w:rFonts w:ascii="仿宋_GB2312" w:hAnsi="仿宋_GB2312" w:cs="仿宋_GB2312" w:eastAsia="仿宋_GB2312"/>
                      <w:sz w:val="24"/>
                    </w:rPr>
                    <w:t>分局</w:t>
                  </w:r>
                  <w:r>
                    <w:rPr>
                      <w:rFonts w:ascii="仿宋_GB2312" w:hAnsi="仿宋_GB2312" w:cs="仿宋_GB2312" w:eastAsia="仿宋_GB2312"/>
                      <w:sz w:val="24"/>
                    </w:rPr>
                    <w:t>所有资产统一进行实地的资产规范化清点，建立资产实物台账，将资产实物</w:t>
                  </w:r>
                  <w:r>
                    <w:rPr>
                      <w:rFonts w:ascii="仿宋_GB2312" w:hAnsi="仿宋_GB2312" w:cs="仿宋_GB2312" w:eastAsia="仿宋_GB2312"/>
                      <w:sz w:val="24"/>
                    </w:rPr>
                    <w:t>与资产系统账目进行账实核对，最终给所有的固定资产张贴资产二维码标签。达到一物一码，一房一卡，确定固定资产唯一身份证的效果，今后无需再采用手工盘点，做反复工作</w:t>
                  </w:r>
                  <w:r>
                    <w:rPr>
                      <w:rFonts w:ascii="仿宋_GB2312" w:hAnsi="仿宋_GB2312" w:cs="仿宋_GB2312" w:eastAsia="仿宋_GB2312"/>
                      <w:sz w:val="24"/>
                    </w:rPr>
                    <w:t>，资产盘点数据更新入资产管理系统，最终出具项目工作报告，完整反映本次盘点工作的全部工作内容，并提出合理化建议。</w:t>
                  </w:r>
                </w:p>
                <w:p>
                  <w:pPr>
                    <w:pStyle w:val="null3"/>
                    <w:ind w:firstLine="482"/>
                    <w:jc w:val="both"/>
                  </w:pPr>
                  <w:r>
                    <w:rPr>
                      <w:rFonts w:ascii="仿宋_GB2312" w:hAnsi="仿宋_GB2312" w:cs="仿宋_GB2312" w:eastAsia="仿宋_GB2312"/>
                      <w:sz w:val="24"/>
                      <w:b/>
                    </w:rPr>
                    <w:t>三、服务</w:t>
                  </w:r>
                  <w:r>
                    <w:rPr>
                      <w:rFonts w:ascii="仿宋_GB2312" w:hAnsi="仿宋_GB2312" w:cs="仿宋_GB2312" w:eastAsia="仿宋_GB2312"/>
                      <w:sz w:val="24"/>
                      <w:b/>
                    </w:rPr>
                    <w:t>目的</w:t>
                  </w:r>
                </w:p>
                <w:p>
                  <w:pPr>
                    <w:pStyle w:val="null3"/>
                    <w:ind w:firstLine="480"/>
                    <w:jc w:val="both"/>
                  </w:pPr>
                  <w:r>
                    <w:rPr>
                      <w:rFonts w:ascii="仿宋_GB2312" w:hAnsi="仿宋_GB2312" w:cs="仿宋_GB2312" w:eastAsia="仿宋_GB2312"/>
                      <w:sz w:val="24"/>
                    </w:rPr>
                    <w:t>通过盘点全面摸清</w:t>
                  </w:r>
                  <w:r>
                    <w:rPr>
                      <w:rFonts w:ascii="仿宋_GB2312" w:hAnsi="仿宋_GB2312" w:cs="仿宋_GB2312" w:eastAsia="仿宋_GB2312"/>
                      <w:sz w:val="24"/>
                    </w:rPr>
                    <w:t>“家底”，建立科学、规范的资产管理体系，夯实资产管理信息系统数据，推进资产管理与预算管理、财务管理相结合，做到“账账相符、账实相符、账卡相符”，资产赋码，及时报废，实现动态化管理，为“预算管理一体化”打好基础</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四、服务要求</w:t>
                  </w:r>
                </w:p>
                <w:p>
                  <w:pPr>
                    <w:pStyle w:val="null3"/>
                    <w:ind w:firstLine="480"/>
                    <w:jc w:val="both"/>
                  </w:pPr>
                  <w:r>
                    <w:rPr>
                      <w:rFonts w:ascii="仿宋_GB2312" w:hAnsi="仿宋_GB2312" w:cs="仿宋_GB2312" w:eastAsia="仿宋_GB2312"/>
                      <w:sz w:val="24"/>
                    </w:rPr>
                    <w:t>1.资产实物需全部规范化清点，建立各部门资产实物台账，并按照部门梳理部门资产管理台账，完成部门资产签字确认工作。</w:t>
                  </w:r>
                </w:p>
                <w:p>
                  <w:pPr>
                    <w:pStyle w:val="null3"/>
                    <w:ind w:firstLine="480"/>
                    <w:jc w:val="both"/>
                  </w:pPr>
                  <w:r>
                    <w:rPr>
                      <w:rFonts w:ascii="仿宋_GB2312" w:hAnsi="仿宋_GB2312" w:cs="仿宋_GB2312" w:eastAsia="仿宋_GB2312"/>
                      <w:sz w:val="24"/>
                    </w:rPr>
                    <w:t>2.条码化管理的资产统一实行二维条形码，确保一物一码，贴码内容需与财政云资产账务及实物相匹配，并粘贴于对应资产的表面或侧面，保持平整、便于扫描。资产卡片要求内容齐全、字迹清晰、经久耐磨、保持完整。二维条形码和资产大卡的设计、编排根据单位性质整体考虑，应体现资产名称、资产编号、取得日期、规格型号、使用人等信息，须科学合理、美观醒目。</w:t>
                  </w:r>
                </w:p>
                <w:p>
                  <w:pPr>
                    <w:pStyle w:val="null3"/>
                    <w:ind w:firstLine="480"/>
                    <w:jc w:val="both"/>
                  </w:pPr>
                  <w:r>
                    <w:rPr>
                      <w:rFonts w:ascii="仿宋_GB2312" w:hAnsi="仿宋_GB2312" w:cs="仿宋_GB2312" w:eastAsia="仿宋_GB2312"/>
                      <w:sz w:val="24"/>
                    </w:rPr>
                    <w:t>3.财政云资产系统账目经盘查核实后需更新至最新资产使用信息，根据雁塔区财政局对资产管理系统数据要求，完善资产使用信息数据，并做到资产系统账目与实际使用信息一一对应，账实相符。</w:t>
                  </w:r>
                </w:p>
                <w:p>
                  <w:pPr>
                    <w:pStyle w:val="null3"/>
                    <w:ind w:firstLine="480"/>
                    <w:jc w:val="both"/>
                  </w:pPr>
                  <w:r>
                    <w:rPr>
                      <w:rFonts w:ascii="仿宋_GB2312" w:hAnsi="仿宋_GB2312" w:cs="仿宋_GB2312" w:eastAsia="仿宋_GB2312"/>
                      <w:sz w:val="24"/>
                    </w:rPr>
                    <w:t>4.明确梳理出待处置资产明细，并针对待处置资产整理报批所需材料，协助办理处置手续。</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.根据单位资产管理现状，梳理贴合实际情况的资产管理制度。</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.配合完成分局资产管理方面合理范围内业务需求。</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、出具完善的项目工作报告，每份报告一式</w:t>
                  </w:r>
                  <w:r>
                    <w:rPr>
                      <w:rFonts w:ascii="仿宋_GB2312" w:hAnsi="仿宋_GB2312" w:cs="仿宋_GB2312" w:eastAsia="仿宋_GB2312"/>
                      <w:sz w:val="24"/>
                    </w:rPr>
                    <w:t>3</w:t>
                  </w:r>
                  <w:r>
                    <w:rPr>
                      <w:rFonts w:ascii="仿宋_GB2312" w:hAnsi="仿宋_GB2312" w:cs="仿宋_GB2312" w:eastAsia="仿宋_GB2312"/>
                      <w:sz w:val="24"/>
                    </w:rPr>
                    <w:t>份，按采购人要求装订成册（含电子版）</w:t>
                  </w:r>
                  <w:r>
                    <w:rPr>
                      <w:rFonts w:ascii="仿宋_GB2312" w:hAnsi="仿宋_GB2312" w:cs="仿宋_GB2312" w:eastAsia="仿宋_GB2312"/>
                      <w:sz w:val="24"/>
                    </w:rPr>
                    <w:t>。</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根据采购内容及需求自行拟派服务人员，采购人不限定人数。</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符合本项目的相关设备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在实施服务中，应符合《中华人民共和国企业国有资产法》、《企业国有资产监督管理暂行条例》、《企业会计准则》以及金融监管部门有关规章制度的要求、程序和方法，按照独立、客观、公正的原则，在充分调查研究、论证和分析的基础上作出客观公正的资产盘点结论。 2、为保证项目服务质量和时效性，供应商应派出足够数量的业务骨干，并在磋商响应文件中提供拟派遣人员姓名、身份证号、证书编号等。</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90日历天，以双方签订合同时约定的起止日期为准。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符合国家行业地方验收标准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服务期结束提交报告经甲方验收合格后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1、本协议执行期间，甲乙双方应履行承诺，任何一方未按约定履行合同义务，给对方造成损失时，违约方应承担违约责任。 2、乙方未能认真履行甲方提出的改进意见，甲方可给予书面警告。如在一个月出现三次书面警告，甲方有权终止本合同，由此造成的损失由乙方承担。 3、乙方未按时提交甲方所需的相关资料，甲方有权延期付款直至乙方将甲方所需资料全部提供。 4、因乙方原因造成断供或发生食物中毒事故，乙方应全额赔偿损失，造成严重后果的，应追究乙方的法律责任，乙方承担由此产生的一切损失，甲方有权终止合同，并要求乙方承担本合同总金额30%的违约金。 5、本合同有效期内任何一方不得无故终止履行合同，若任何一方有意终止合作应提前一个月通知对方，经双方协商一致后，可解除合同，若没有提前一个月通知对方，需赔偿对方最后一个月餐费的10%。 6、对经考核不合格的乙方劳务人员，甲方有权提出更换，乙方必须在甲方三个工作日内更换，否则应向甲方承担1000元违约金。 7、因不可抗力原因发生造成的双方损失由双方各自承担自己的损失。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或2024年度经审计的财务报告（包括审计报告、资产负债表、利润表、现金流量表、所有者权益变动表（没有可不提供）及附注，成立时间至提交磋商响应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响应文件递交截止时间前一年内已缴纳的至少一个月的纳税证明或完税证明（提供任意税种），纳税证明或完税证明上应有代收机构或税务机关的公章或业务专用章，依法免税的供应商应提供相应证明文件； 5.提供响应文件递交截止时间前一年内已缴存的至少一个月的社会保障资金缴存单据或社保机构开具的社会保险参保缴费情况证明，依法不需要缴纳社会保障资金的供应商应提供相应证明文件；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没有可不提供）及附注，成立时间至提交磋商响应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报价明显低于其他有效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资格证明文件 业绩证明材料 中小企业声明函 残疾人福利性单位声明函 服务方案 标的清单 陕西省政府采购供应商拒绝政府采购领域商业贿赂承诺书 技术和商务偏离表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服务方案 技术和商务偏离表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项目概况</w:t>
            </w:r>
          </w:p>
        </w:tc>
        <w:tc>
          <w:tcPr>
            <w:tcW w:type="dxa" w:w="2492"/>
          </w:tcPr>
          <w:p>
            <w:pPr>
              <w:pStyle w:val="null3"/>
            </w:pPr>
            <w:r>
              <w:rPr>
                <w:rFonts w:ascii="仿宋_GB2312" w:hAnsi="仿宋_GB2312" w:cs="仿宋_GB2312" w:eastAsia="仿宋_GB2312"/>
              </w:rPr>
              <w:t>评审内容：1.对本项目背景了解;2.现状理解。 评审标准：以上内容全面详细、目标明确、科学合理且完全符合本项目采购要求得6分。评审内容缺每一项扣3分,评审内容有缺陷（缺陷指内容明显错误、内容表述前后矛盾、内容不完整、表达简单笼统、缺少关键点，或不适用本项目特性等）的扣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技术和商务偏离表</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评审内容：1.服务目标；2.项目重点、难点把控；3.服务标准化实施内容。 评审标准：以上内容全面详细、目标明确、科学合理且完全符合本项目采购要求得12分。评审内容缺每一项扣4分,评审内容有缺陷（缺陷指内容明显错误、内容表述前后矛盾、内容不完整、表达简单笼统、缺少关键点，或不适用本项目特性等）的扣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技术和商务偏离表</w:t>
            </w:r>
          </w:p>
        </w:tc>
      </w:tr>
      <w:tr>
        <w:tc>
          <w:tcPr>
            <w:tcW w:type="dxa" w:w="831"/>
            <w:vMerge/>
          </w:tcPr>
          <w:p/>
        </w:tc>
        <w:tc>
          <w:tcPr>
            <w:tcW w:type="dxa" w:w="1661"/>
          </w:tcPr>
          <w:p>
            <w:pPr>
              <w:pStyle w:val="null3"/>
            </w:pPr>
            <w:r>
              <w:rPr>
                <w:rFonts w:ascii="仿宋_GB2312" w:hAnsi="仿宋_GB2312" w:cs="仿宋_GB2312" w:eastAsia="仿宋_GB2312"/>
              </w:rPr>
              <w:t>工作进度计划</w:t>
            </w:r>
          </w:p>
        </w:tc>
        <w:tc>
          <w:tcPr>
            <w:tcW w:type="dxa" w:w="2492"/>
          </w:tcPr>
          <w:p>
            <w:pPr>
              <w:pStyle w:val="null3"/>
            </w:pPr>
            <w:r>
              <w:rPr>
                <w:rFonts w:ascii="仿宋_GB2312" w:hAnsi="仿宋_GB2312" w:cs="仿宋_GB2312" w:eastAsia="仿宋_GB2312"/>
              </w:rPr>
              <w:t>评审内容：1.合理的时间计划；2.进度安排；3.保障措施。 评审标准：以上方案内容全面详细、目标明确、科学合理且完全符合本项目采购要求得12分。评审内容每缺一项扣4分,评审内容有缺陷（缺陷指内容明显错误，或内容表述前后矛盾、内容不完整、表达简单笼统、缺少关键点，或不适用本项目特性等）的扣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评审内容：1.档案资料管理措施；2.移交工作制度；3.保密措施。 评审标准：以上内容全面详细、阐述条理清晰详尽、可行性强且符合本项目采购需求得12分。评审内容每缺一项扣4分,评审内容有缺陷（缺陷是指：缺陷指内容明显错误、内容表述前后矛盾、内容不完整、表达简单笼统、缺少关键点，或不适用本项目特性等）的扣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技术和商务偏离表</w:t>
            </w:r>
          </w:p>
        </w:tc>
      </w:tr>
      <w:tr>
        <w:tc>
          <w:tcPr>
            <w:tcW w:type="dxa" w:w="831"/>
            <w:vMerge/>
          </w:tcPr>
          <w:p/>
        </w:tc>
        <w:tc>
          <w:tcPr>
            <w:tcW w:type="dxa" w:w="1661"/>
          </w:tcPr>
          <w:p>
            <w:pPr>
              <w:pStyle w:val="null3"/>
            </w:pPr>
            <w:r>
              <w:rPr>
                <w:rFonts w:ascii="仿宋_GB2312" w:hAnsi="仿宋_GB2312" w:cs="仿宋_GB2312" w:eastAsia="仿宋_GB2312"/>
              </w:rPr>
              <w:t>人员配置计划</w:t>
            </w:r>
          </w:p>
        </w:tc>
        <w:tc>
          <w:tcPr>
            <w:tcW w:type="dxa" w:w="2492"/>
          </w:tcPr>
          <w:p>
            <w:pPr>
              <w:pStyle w:val="null3"/>
            </w:pPr>
            <w:r>
              <w:rPr>
                <w:rFonts w:ascii="仿宋_GB2312" w:hAnsi="仿宋_GB2312" w:cs="仿宋_GB2312" w:eastAsia="仿宋_GB2312"/>
              </w:rPr>
              <w:t>评审内容：1.项目组成人员职责任务分配；2.人员数量和人员专业结构配备；3.项目组成人员相关证书完备情况。 评审标准：以上内容全面详细、阐述条理清晰详尽、可行性强且符合本项目采购需求得12分。评审内容每缺一项扣4分,评审内容有缺陷（缺陷是指：方案笼统、人员选定标准不明确、组织结构混乱、证书不完备、职责分工不明确、与项目需求不匹配、存在不适用项目实际情况的情形或只有标题没有实质性内容等）的扣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技术和商务偏离表</w:t>
            </w:r>
          </w:p>
        </w:tc>
      </w:tr>
      <w:tr>
        <w:tc>
          <w:tcPr>
            <w:tcW w:type="dxa" w:w="831"/>
            <w:vMerge/>
          </w:tcPr>
          <w:p/>
        </w:tc>
        <w:tc>
          <w:tcPr>
            <w:tcW w:type="dxa" w:w="1661"/>
          </w:tcPr>
          <w:p>
            <w:pPr>
              <w:pStyle w:val="null3"/>
            </w:pPr>
            <w:r>
              <w:rPr>
                <w:rFonts w:ascii="仿宋_GB2312" w:hAnsi="仿宋_GB2312" w:cs="仿宋_GB2312" w:eastAsia="仿宋_GB2312"/>
              </w:rPr>
              <w:t>相关证书</w:t>
            </w:r>
          </w:p>
        </w:tc>
        <w:tc>
          <w:tcPr>
            <w:tcW w:type="dxa" w:w="2492"/>
          </w:tcPr>
          <w:p>
            <w:pPr>
              <w:pStyle w:val="null3"/>
            </w:pPr>
            <w:r>
              <w:rPr>
                <w:rFonts w:ascii="仿宋_GB2312" w:hAnsi="仿宋_GB2312" w:cs="仿宋_GB2312" w:eastAsia="仿宋_GB2312"/>
              </w:rPr>
              <w:t>项目组人员：具有会计相关专业职称3人及以上得1.5分，不足3人不得分；在此基础上每增加1人加0.5分，最高加2.5分（提供相应的资格证及2024年1月以来拟派人员在本单位缴纳任意一个月社保缴纳证明或劳动合同，未提供或有遗漏的不计入相应分值）</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技术和商务偏离表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评审内容：1.突发事件应急处理能力；2.资源调配能力方案 评审标准：以上内容全面详细、阐述条理清晰详尽、可行性强且符合本项目采购需求得6分。评审内容每缺一项扣3分,评审内容有缺陷（缺陷是指：方案笼统、招聘计划安排不合理、人员选定标准不明确、组织结构混乱、职责分工不明确、与项目需求不匹配、存在不适用项目实际情况的情形或只有标题没有实质性内容等）的扣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评审内容：1.日常管理制度；2.考勤制度；3.考核制度；4.奖惩制度。 评审标准：以上内容全面详细、阐述条理清晰详尽、可行性强且符合本项目需求得12分。评审内容每缺一项扣3分,评审内容有缺陷（缺陷是指：制度内容粗略、逻辑混乱、描述过于简单、与项目特点不匹配、凭空编造、逻辑漏洞、出现常识性错误、存在不适用项目实际情况的情形或只有标题没有实质性内容等）的扣1.5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技术和商务偏离表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有利于本项目工作顺利进行的合理化建议详细、合理，针对性强、全面、目标明确且完全符合本项目采购要求得4分。评审内容有缺陷（缺陷指内容明显错误，或内容表述前后矛盾、内容不完整、表达简单笼统、缺少关键点，或不适用本项目特性等）的扣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技术和商务偏离表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供应商2022年至响应文件递交截止日类似项目业绩（以合同复印件为准），每提供一份业绩得2分，最高得10分。若提供虚假业绩，一经发现，按无效磋商处理。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