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版本号：SXHT-(CS)2025040720250424001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2025年度机关食堂食材采购服务项目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SXHT-(CS)20250407</w:t>
      </w:r>
      <w:r>
        <w:br/>
      </w:r>
      <w:r>
        <w:br/>
      </w:r>
      <w:r>
        <w:br/>
      </w:r>
    </w:p>
    <w:p>
      <w:pPr>
        <w:pStyle w:val="null3"/>
        <w:jc w:val="center"/>
        <w:outlineLvl w:val="2"/>
      </w:pPr>
      <w:r>
        <w:rPr>
          <w:rFonts w:ascii="仿宋_GB2312" w:hAnsi="仿宋_GB2312" w:cs="仿宋_GB2312" w:eastAsia="仿宋_GB2312"/>
          <w:sz w:val="28"/>
          <w:b/>
        </w:rPr>
        <w:t>西安市雁塔区市场监督管理局</w:t>
      </w:r>
    </w:p>
    <w:p>
      <w:pPr>
        <w:pStyle w:val="null3"/>
        <w:jc w:val="center"/>
        <w:outlineLvl w:val="2"/>
      </w:pPr>
      <w:r>
        <w:rPr>
          <w:rFonts w:ascii="仿宋_GB2312" w:hAnsi="仿宋_GB2312" w:cs="仿宋_GB2312" w:eastAsia="仿宋_GB2312"/>
          <w:sz w:val="28"/>
          <w:b/>
        </w:rPr>
        <w:t>陕西海堂项目管理咨询有限公司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陕西海堂项目管理咨询有限公司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西安市雁塔区市场监督管理局</w:t>
      </w:r>
      <w:r>
        <w:rPr>
          <w:rFonts w:ascii="仿宋_GB2312" w:hAnsi="仿宋_GB2312" w:cs="仿宋_GB2312" w:eastAsia="仿宋_GB2312"/>
        </w:rPr>
        <w:t>委托，拟对</w:t>
      </w:r>
      <w:r>
        <w:rPr>
          <w:rFonts w:ascii="仿宋_GB2312" w:hAnsi="仿宋_GB2312" w:cs="仿宋_GB2312" w:eastAsia="仿宋_GB2312"/>
        </w:rPr>
        <w:t>2025年度机关食堂食材采购服务项目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SXHT-(CS)20250407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2025年度机关食堂食材采购服务项目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2025年度机关食堂食材采购服务项目,满足局机关法定工作日内120名工作人员的早餐、午餐以及法定工作日内值班人员的晚餐保障所需食材供应；</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采购包1（2025年度机关食堂食材采购服务项目）：属于专门面向中小企业采购。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2、授权委托书：法定代表人(负责人)参与投标时，提供法定代表人(负责人)身份证明及本人身份证复印件加盖公章；授权代表参与投标时，提供企业法人授权委托书及被授权人身份证复印件加盖公章；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3、财务状况报告：供应商提供2023年度或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4、社会保障资金缴纳证明：提供2024年10月至今已缴存的一个月的社会保障资金缴存单据或社保机构开具的社会保险参保缴费情况证明，依法不需要缴纳社会保障资金的投标单位应提供相关文件证明；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5、税收缴纳证明：提供2024年10月至今已缴纳的至少一个月的纳税证明或完税证明，依法免税的单位应提供相关证明材料；</w:t>
      </w:r>
    </w:p>
    <w:p>
      <w:pPr>
        <w:pStyle w:val="null3"/>
      </w:pPr>
      <w:r>
        <w:rPr>
          <w:rFonts w:ascii="仿宋_GB2312" w:hAnsi="仿宋_GB2312" w:cs="仿宋_GB2312" w:eastAsia="仿宋_GB2312"/>
        </w:rPr>
        <w:t>6、许可证：供应商须具有有效的《食品经营许可证》或《食品生产许可证》；</w:t>
      </w:r>
    </w:p>
    <w:p>
      <w:pPr>
        <w:pStyle w:val="null3"/>
      </w:pPr>
      <w:r>
        <w:rPr>
          <w:rFonts w:ascii="仿宋_GB2312" w:hAnsi="仿宋_GB2312" w:cs="仿宋_GB2312" w:eastAsia="仿宋_GB2312"/>
        </w:rPr>
        <w:t>7、无重大违法记录声明：参加政府采购活动前3年内经营活动中没有重大违法记录声明；</w:t>
      </w:r>
    </w:p>
    <w:p>
      <w:pPr>
        <w:pStyle w:val="null3"/>
      </w:pPr>
      <w:r>
        <w:rPr>
          <w:rFonts w:ascii="仿宋_GB2312" w:hAnsi="仿宋_GB2312" w:cs="仿宋_GB2312" w:eastAsia="仿宋_GB2312"/>
        </w:rPr>
        <w:t>8、信用中国：通过“信用中国”网站（www.creditchina.gov.cn/）和“中国政府采购网”（http://www.ccgp.gov.cn/）查询投标主体未被列入失信被执行人、重大税收失信主体、政府采购严重违法失信行为记录名单；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9、承诺函：提供具有履行服务合同所必需的产品和专业技术能力的承诺；</w:t>
      </w:r>
    </w:p>
    <w:p>
      <w:pPr>
        <w:pStyle w:val="null3"/>
      </w:pPr>
      <w:r>
        <w:rPr>
          <w:rFonts w:ascii="仿宋_GB2312" w:hAnsi="仿宋_GB2312" w:cs="仿宋_GB2312" w:eastAsia="仿宋_GB2312"/>
        </w:rPr>
        <w:t>10、控股、管理关系：单位负责人为同一人或者存在控股、管理关系的不同供应商，不得同时参加本项目采购活动；</w:t>
      </w:r>
    </w:p>
    <w:p>
      <w:pPr>
        <w:pStyle w:val="null3"/>
      </w:pPr>
      <w:r>
        <w:rPr>
          <w:rFonts w:ascii="仿宋_GB2312" w:hAnsi="仿宋_GB2312" w:cs="仿宋_GB2312" w:eastAsia="仿宋_GB2312"/>
        </w:rPr>
        <w:t>11、中小企业声明函：本项目专门面向中小企业采购。（提供中小企业声明函）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雁塔区电子城街道电子二路60号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种红军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88236453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陕西海堂项目管理咨询有限公司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西安市建西街123号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代理服务费收费标准：1、成交服务费按约定由成交供应商支付。 2、成交供应商应依据成交金额向采购代理机构交纳成交服务费，交费金额参照国家发改委计划委员会计价格[2002]1980号、发改价格[2011]534号及发改价格[2015]299号文件规定标准计取。不足伍仟元按伍仟元收取。 3、本项目代理服务费按服务计取。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西安市雁塔区市场监督管理局</w:t>
      </w:r>
      <w:r>
        <w:rPr>
          <w:rFonts w:ascii="仿宋_GB2312" w:hAnsi="仿宋_GB2312" w:cs="仿宋_GB2312" w:eastAsia="仿宋_GB2312"/>
        </w:rPr>
        <w:t>和</w:t>
      </w:r>
      <w:r>
        <w:rPr>
          <w:rFonts w:ascii="仿宋_GB2312" w:hAnsi="仿宋_GB2312" w:cs="仿宋_GB2312" w:eastAsia="仿宋_GB2312"/>
        </w:rPr>
        <w:t>陕西海堂项目管理咨询有限公司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陕西海堂项目管理咨询有限公司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陕西海堂项目管理咨询有限公司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符合国家现行规范的合格标准。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联系人：田华</w:t>
      </w:r>
    </w:p>
    <w:p>
      <w:pPr>
        <w:pStyle w:val="null3"/>
      </w:pPr>
      <w:r>
        <w:rPr>
          <w:rFonts w:ascii="仿宋_GB2312" w:hAnsi="仿宋_GB2312" w:cs="仿宋_GB2312" w:eastAsia="仿宋_GB2312"/>
        </w:rPr>
        <w:t>联系电话：029-85266606</w:t>
      </w:r>
    </w:p>
    <w:p>
      <w:pPr>
        <w:pStyle w:val="null3"/>
      </w:pPr>
      <w:r>
        <w:rPr>
          <w:rFonts w:ascii="仿宋_GB2312" w:hAnsi="仿宋_GB2312" w:cs="仿宋_GB2312" w:eastAsia="仿宋_GB2312"/>
        </w:rPr>
        <w:t>地址：西安市碑林区建西街123号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2025年度机关食堂食材采购服务项目,满足局机关法定工作日内120名工作人员的早餐、午餐以及法定工作日内值班人员的晚餐保障所需食材供应；</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2025年机关食堂食材采购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标的名称：2025年机关食堂食材采购</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一、服务内容</w:t>
            </w:r>
          </w:p>
        </w:tc>
        <w:tc>
          <w:tcPr>
            <w:tcW w:type="dxa" w:w="2076"/>
          </w:tcPr>
          <w:p>
            <w:pPr>
              <w:pStyle w:val="null3"/>
              <w:jc w:val="both"/>
            </w:pPr>
            <w:r>
              <w:rPr>
                <w:rFonts w:ascii="仿宋_GB2312" w:hAnsi="仿宋_GB2312" w:cs="仿宋_GB2312" w:eastAsia="仿宋_GB2312"/>
                <w:sz w:val="24"/>
              </w:rPr>
              <w:t>2025年度机关食堂食材采购服务项目,满足局机关法定工作日内120名工作人员的早餐、午餐以及法定工作日内值班人员的晚餐保障所需食材供应，所配送食材需符合国家食品安全要求。</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二、技术要求</w:t>
            </w:r>
          </w:p>
        </w:tc>
        <w:tc>
          <w:tcPr>
            <w:tcW w:type="dxa" w:w="2076"/>
          </w:tcPr>
          <w:p>
            <w:pPr>
              <w:pStyle w:val="null3"/>
              <w:jc w:val="both"/>
            </w:pPr>
            <w:r>
              <w:rPr>
                <w:rFonts w:ascii="仿宋_GB2312" w:hAnsi="仿宋_GB2312" w:cs="仿宋_GB2312" w:eastAsia="仿宋_GB2312"/>
                <w:sz w:val="24"/>
              </w:rPr>
              <w:t>1、配送食材质量要求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1）所有食材均须符合《中华人民共和国食品安全法》，须具备所配送产品的检测报告或食品检验合格证。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2）大米应符合国家现行相关标准。且在保质期内，并列明可提供配送产品的品牌清单、每个产品详细的参数或指标。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3）食用油应应符合国家现行相关标准，且在保质期内，并列明可提供配送产品的品牌清单、每个产品详细的参数或指标。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4）面粉（一级以上（含一级）小麦粉）应符合国家现行相关标准，且在保质期内，并列明可提供配送产品的品牌清单、每个产品详细的参数或指标。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5）干货、调料、调味品在保质期内。</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6）鸡蛋和乳制品必须符合国家现行相关标准；豆制品及其他半成品送货当日时间不得超过保质期的1/3时长；</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7）配送的鲜肉类必须在定点屠宰场（或宰杀店）宰杀加工，并经动物卫生检疫机构检疫合格，加盖检疫合格印章和屠宰场印章，并附有《动物产品检疫合格证明》。</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8）蔬菜：</w:t>
            </w:r>
          </w:p>
          <w:p>
            <w:pPr>
              <w:pStyle w:val="null3"/>
              <w:jc w:val="both"/>
            </w:pPr>
            <w:r>
              <w:rPr>
                <w:rFonts w:ascii="仿宋_GB2312" w:hAnsi="仿宋_GB2312" w:cs="仿宋_GB2312" w:eastAsia="仿宋_GB2312"/>
                <w:sz w:val="24"/>
              </w:rPr>
              <w:t>①叶菜类：新鲜、色泽鲜亮、无腐烂、无干叶、捆把内部无杂乱夹塞，菜品粗细均匀，脆嫩不老，不抽苔。茎部不老化，个体均匀，未发芽、变色。</w:t>
            </w:r>
          </w:p>
          <w:p>
            <w:pPr>
              <w:pStyle w:val="null3"/>
              <w:jc w:val="both"/>
            </w:pPr>
            <w:r>
              <w:rPr>
                <w:rFonts w:ascii="仿宋_GB2312" w:hAnsi="仿宋_GB2312" w:cs="仿宋_GB2312" w:eastAsia="仿宋_GB2312"/>
                <w:sz w:val="24"/>
              </w:rPr>
              <w:t>②根茎类：茎部不老化，个体均匀，未发芽、变色。</w:t>
            </w:r>
          </w:p>
          <w:p>
            <w:pPr>
              <w:pStyle w:val="null3"/>
              <w:jc w:val="both"/>
            </w:pPr>
            <w:r>
              <w:rPr>
                <w:rFonts w:ascii="仿宋_GB2312" w:hAnsi="仿宋_GB2312" w:cs="仿宋_GB2312" w:eastAsia="仿宋_GB2312"/>
                <w:sz w:val="24"/>
              </w:rPr>
              <w:t>③花果类：个体均匀，无腐烂、无变色，允许果型有轻微缺点，但不得变形、过熟。</w:t>
            </w:r>
          </w:p>
          <w:p>
            <w:pPr>
              <w:pStyle w:val="null3"/>
              <w:jc w:val="both"/>
            </w:pPr>
            <w:r>
              <w:rPr>
                <w:rFonts w:ascii="仿宋_GB2312" w:hAnsi="仿宋_GB2312" w:cs="仿宋_GB2312" w:eastAsia="仿宋_GB2312"/>
                <w:sz w:val="24"/>
              </w:rPr>
              <w:t>④菇菌类：外形饱满，不发霉、变黑。</w:t>
            </w:r>
          </w:p>
          <w:p>
            <w:pPr>
              <w:pStyle w:val="null3"/>
              <w:jc w:val="both"/>
            </w:pPr>
            <w:r>
              <w:rPr>
                <w:rFonts w:ascii="仿宋_GB2312" w:hAnsi="仿宋_GB2312" w:cs="仿宋_GB2312" w:eastAsia="仿宋_GB2312"/>
                <w:sz w:val="24"/>
              </w:rPr>
              <w:t>⑤果蔬必须符合食品中农药最大残留限量最新标准并具有农药残留检验记录。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8）其他要求：肉类、冷冻产品必须保证质量，肉类产品应具有相关动物检验检疫合格证明；</w:t>
            </w:r>
          </w:p>
          <w:p>
            <w:pPr>
              <w:pStyle w:val="null3"/>
              <w:jc w:val="both"/>
            </w:pPr>
            <w:r>
              <w:rPr>
                <w:rFonts w:ascii="仿宋_GB2312" w:hAnsi="仿宋_GB2312" w:cs="仿宋_GB2312" w:eastAsia="仿宋_GB2312"/>
                <w:sz w:val="24"/>
              </w:rPr>
              <w:t>2、配送要求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1）米、面、油主食类、干货调味品、杂粮等食材根据职工食堂需求用量及库存条件，原则上每周送货1次或2次；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2）乳制品根据职工食堂需求每1—2天送货1次；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3）蔬菜水果、肉类等原则上要求每天送货1次，确保蔬菜新鲜。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4）采购人每天下午20:00前向供应商下达第二天的订单，供应商次日6:30前送达。</w:t>
            </w:r>
          </w:p>
          <w:p>
            <w:pPr>
              <w:pStyle w:val="null3"/>
              <w:jc w:val="both"/>
            </w:pPr>
            <w:r>
              <w:rPr>
                <w:rFonts w:ascii="仿宋_GB2312" w:hAnsi="仿宋_GB2312" w:cs="仿宋_GB2312" w:eastAsia="仿宋_GB2312"/>
                <w:sz w:val="24"/>
              </w:rPr>
              <w:t>3、其它要求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1）供应商根据职工食堂要求提供的所有食材的品种、数量、质量准时向甲方提供配送服务；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2）供应商自备送货车（冷藏或恒温），安排专人及时供货，装卸费、送货费用及运输安全由供货方承担；</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3）特殊情况下，职工食堂需要的小批量的急用物资，供货方应予以满足解决；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4）所有食材供应商必须按照采购方要求的种类、规格进行供货，满足采购方使用需求。所有食材采购均以采购方通知为准，采购方有权根据实际需求量随时调整采购计划及供货时间段。</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5）供应商所报报价应含运费、运送人员工资、税费等费用。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6）供应商应按照采购人所需的货品数量，按时送至采购人指定地点。</w:t>
            </w:r>
          </w:p>
          <w:p>
            <w:pPr>
              <w:pStyle w:val="null3"/>
              <w:jc w:val="both"/>
            </w:pPr>
            <w:r>
              <w:rPr>
                <w:rFonts w:ascii="仿宋_GB2312" w:hAnsi="仿宋_GB2312" w:cs="仿宋_GB2312" w:eastAsia="仿宋_GB2312"/>
                <w:sz w:val="24"/>
              </w:rPr>
              <w:t>4、询价标准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询价周期：食品供应按季节随行就市，其中配送蔬菜、水果、肉蛋禽、水产的价格，供应商每周根据市场调研，得出一个市场价作为货物价款，报采购人审核确认后采购；配送饮品、干货、调料、杂粮等原材料每月根据市场调研，得出一个市场价作为货物价款，报采购人审核确认后采购。</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2）询价依据：根据供应商询价的市场（一家或多家大型超市）询价价格与采购人询价的市场 （一家或多家大型超市）价格协商确定结算价格。（若双方对对方的价格有所质疑， 可委派人员重新对有异议的价格进行核实。）该价格为本询价周期的单价。</w:t>
            </w:r>
          </w:p>
          <w:p>
            <w:pPr>
              <w:pStyle w:val="null3"/>
              <w:jc w:val="both"/>
            </w:pPr>
            <w:r>
              <w:rPr>
                <w:rFonts w:ascii="仿宋_GB2312" w:hAnsi="仿宋_GB2312" w:cs="仿宋_GB2312" w:eastAsia="仿宋_GB2312"/>
                <w:sz w:val="24"/>
              </w:rPr>
              <w:t>注：每次协商确定的询价结果作为本次询价周期内的结算依据。</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三、商务要求</w:t>
            </w:r>
          </w:p>
        </w:tc>
        <w:tc>
          <w:tcPr>
            <w:tcW w:type="dxa" w:w="2076"/>
          </w:tcPr>
          <w:p>
            <w:pPr>
              <w:pStyle w:val="null3"/>
              <w:jc w:val="both"/>
            </w:pPr>
            <w:r>
              <w:rPr>
                <w:rFonts w:ascii="仿宋_GB2312" w:hAnsi="仿宋_GB2312" w:cs="仿宋_GB2312" w:eastAsia="仿宋_GB2312"/>
                <w:sz w:val="24"/>
              </w:rPr>
              <w:t>(一)服务期限</w:t>
            </w:r>
          </w:p>
          <w:p>
            <w:pPr>
              <w:pStyle w:val="null3"/>
              <w:jc w:val="both"/>
            </w:pPr>
            <w:r>
              <w:rPr>
                <w:rFonts w:ascii="仿宋_GB2312" w:hAnsi="仿宋_GB2312" w:cs="仿宋_GB2312" w:eastAsia="仿宋_GB2312"/>
                <w:sz w:val="24"/>
              </w:rPr>
              <w:t>本次采购服务期限：合同签订之日起</w:t>
            </w:r>
            <w:r>
              <w:rPr>
                <w:rFonts w:ascii="仿宋_GB2312" w:hAnsi="仿宋_GB2312" w:cs="仿宋_GB2312" w:eastAsia="仿宋_GB2312"/>
                <w:sz w:val="24"/>
              </w:rPr>
              <w:t>1年。</w:t>
            </w:r>
          </w:p>
          <w:p>
            <w:pPr>
              <w:pStyle w:val="null3"/>
              <w:jc w:val="both"/>
            </w:pPr>
            <w:r>
              <w:rPr>
                <w:rFonts w:ascii="仿宋_GB2312" w:hAnsi="仿宋_GB2312" w:cs="仿宋_GB2312" w:eastAsia="仿宋_GB2312"/>
                <w:sz w:val="24"/>
              </w:rPr>
              <w:t>（二）款项结算：</w:t>
            </w:r>
          </w:p>
          <w:p>
            <w:pPr>
              <w:pStyle w:val="null3"/>
              <w:jc w:val="both"/>
            </w:pPr>
            <w:r>
              <w:rPr>
                <w:rFonts w:ascii="仿宋_GB2312" w:hAnsi="仿宋_GB2312" w:cs="仿宋_GB2312" w:eastAsia="仿宋_GB2312"/>
                <w:sz w:val="24"/>
              </w:rPr>
              <w:t>1.第一季度根据供货单按实结算，成交供应商在接受采购人的每一笔付款前，应向采购人开具相应金额的发票，达到付款条件起30日内，待财政资金下达，履约验收后，支付合同总金额的25%。</w:t>
            </w:r>
          </w:p>
          <w:p>
            <w:pPr>
              <w:pStyle w:val="null3"/>
              <w:jc w:val="both"/>
            </w:pPr>
            <w:r>
              <w:rPr>
                <w:rFonts w:ascii="仿宋_GB2312" w:hAnsi="仿宋_GB2312" w:cs="仿宋_GB2312" w:eastAsia="仿宋_GB2312"/>
                <w:sz w:val="24"/>
              </w:rPr>
              <w:t>2.第二季度根据供货单按实结算，成交供应商在接受采购人的每一笔付款前，应向采购人开具相应金额的发票，达到付款条件起30日内，待财政资金下达，履约验收后，支付合同总金额的25%。</w:t>
            </w:r>
          </w:p>
          <w:p>
            <w:pPr>
              <w:pStyle w:val="null3"/>
              <w:jc w:val="both"/>
            </w:pPr>
            <w:r>
              <w:rPr>
                <w:rFonts w:ascii="仿宋_GB2312" w:hAnsi="仿宋_GB2312" w:cs="仿宋_GB2312" w:eastAsia="仿宋_GB2312"/>
                <w:sz w:val="24"/>
              </w:rPr>
              <w:t>3.第三季度根据供货单按实结算，成交供应商在接受采购人的每一笔付款前，应向采购人开具相应金额的发票，达到付款条件起30日内，待财政资金下达，履约验收后，支付合同总金额的25%。</w:t>
            </w:r>
          </w:p>
          <w:p>
            <w:pPr>
              <w:pStyle w:val="null3"/>
              <w:jc w:val="both"/>
            </w:pPr>
            <w:r>
              <w:rPr>
                <w:rFonts w:ascii="仿宋_GB2312" w:hAnsi="仿宋_GB2312" w:cs="仿宋_GB2312" w:eastAsia="仿宋_GB2312"/>
                <w:sz w:val="24"/>
              </w:rPr>
              <w:t>4.第四季度根据供货单按实结算，成交供应商在接受采购人的每一笔付款前，应向采购人开具相应金额的发票，达到付款条件起30日内，待财政资金下达，履约验收绩效评价合格后，支付合同总金额的25%。</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满足本项目要求，详见竞争性磋商文件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满足本项目要求，详见竞争性磋商文件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乙方每次随货送上一式三份的送货清单，甲方须指派专人接收、称重并验收菜品质量；验收合格后由甲方指定验收员签字核认，作为结算凭证。对不符合质量的品种，甲方有权退、换货。货品验收合格签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第一季度根据供货单按实结算，成交供应商在接受采购人的每一笔付款前，应向采购人开具相应金额的发票，待财政资金下达，履约验收后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第二季度根据供货单按实结算，成交供应商在接受采购人的每一笔付款前，应向采购人开具相应金额的发票，待财政资金下达，履约验收后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第三季度根据供货单按实结算，成交供应商在接受采购人的每一笔付款前，应向采购人开具相应金额的发票，待财政资金下达，履约验收后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第四季度根据供货单按实结算，成交供应商在接受采购人的每一笔付款前，应向采购人开具相应金额的发票，待财政资金下达，履约验收绩效评价合格后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1）若一方不能履行合同义务，出现重大违约，则另一方可以书面通知方式单方面终止本合同，并可要求赔偿损失。（2）除上述规定之情形外，提供服务过程中如果没有对方的书面同意，一方不能提前解除合同。如果未经对方同意解除合同，其应当支付合同暂定金额千分之一的违约金。（3）甲方延迟支付服务费，每延迟一日，应按延迟部分的千分之一向乙方支付逾期滞纳金。 （4）如因乙方没有履行本合同相关义务以及条款对甲方造成损失的由乙方负全部责任。 （5）若乙方未能按时提交符合要求的成果文件等，甲方除要求退还已付款项外还可以已付款项为基数，每延迟一日，应按已付款项的千分之一向甲方支付逾期违约；（6）合同一方违约的，对方应积极采取适当措施阻止损失扩大，否则不争议解决双方本着友好合作的态度,对合同履行过程中发生的纠纷应及时协商解决,协商不成，向甲方所在地人民法院诉讼解决。得就扩大部分的损失要求赔偿；违约方应当承担守约方为阻止损失扩大而支付的合理费用。 2、争议解决 双方本着友好合作的态度,对合同履行过程中发生的纠纷应及时协商解决,协商不成，向甲方所在地人民法院诉讼解决。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1.在线客服：通过陕西省政府采购网-在线客服进行咨询 技术服务电话：029-96702 CA及签章服务：通过陕西省政府采购网-服务专区进行查询； 2.请将采购代理服务费汇至下列指定账户： 户名：陕西海堂项目管理咨询有限公司 开户银行：中国银行股份有限公司西安雁塔路支行 账号：103675480567 3.供应商需要在线提交所有通过电子化交易平台实施的政府采购项目的投标文件； 3.成交单位在领取成交通知书前应提供纸质版响应文件正本壹份、副本贰份、电子版贰份（U盘标明供应商名称），若电子投标文件与纸质投标文件不一致的，以电子版投标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法定代表人证明书与法定代表人授权书.docx 服务方案 供应商应提交的相关资格证明材料 响应函 供应商承诺书.docx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中小企业声明函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法定代表人(负责人)参与投标时，提供法定代表人(负责人)身份证明及本人身份证复印件加盖公章；授权代表参与投标时，提供企业法人授权委托书及被授权人身份证复印件加盖公章；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中小企业声明函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中小企业声明函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提供2024年10月至今已缴存的一个月的社会保障资金缴存单据或社保机构开具的社会保险参保缴费情况证明，依法不需要缴纳社会保障资金的投标单位应提供相关文件证明；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中小企业声明函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中小企业声明函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供应商须具有有效的《食品经营许可证》或《食品生产许可证》；</w:t>
            </w:r>
          </w:p>
        </w:tc>
        <w:tc>
          <w:tcPr>
            <w:tcW w:type="dxa" w:w="1661"/>
          </w:tcPr>
          <w:p>
            <w:pPr>
              <w:pStyle w:val="null3"/>
            </w:pPr>
            <w:r>
              <w:rPr>
                <w:rFonts w:ascii="仿宋_GB2312" w:hAnsi="仿宋_GB2312" w:cs="仿宋_GB2312" w:eastAsia="仿宋_GB2312"/>
              </w:rPr>
              <w:t>中小企业声明函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参加政府采购活动前3年内经营活动中没有重大违法记录声明；</w:t>
            </w:r>
          </w:p>
        </w:tc>
        <w:tc>
          <w:tcPr>
            <w:tcW w:type="dxa" w:w="1661"/>
          </w:tcPr>
          <w:p>
            <w:pPr>
              <w:pStyle w:val="null3"/>
            </w:pPr>
            <w:r>
              <w:rPr>
                <w:rFonts w:ascii="仿宋_GB2312" w:hAnsi="仿宋_GB2312" w:cs="仿宋_GB2312" w:eastAsia="仿宋_GB2312"/>
              </w:rPr>
              <w:t>中小企业声明函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中小企业声明函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提供具有履行服务合同所必需的产品和专业技术能力的承诺；</w:t>
            </w:r>
          </w:p>
        </w:tc>
        <w:tc>
          <w:tcPr>
            <w:tcW w:type="dxa" w:w="1661"/>
          </w:tcPr>
          <w:p>
            <w:pPr>
              <w:pStyle w:val="null3"/>
            </w:pPr>
            <w:r>
              <w:rPr>
                <w:rFonts w:ascii="仿宋_GB2312" w:hAnsi="仿宋_GB2312" w:cs="仿宋_GB2312" w:eastAsia="仿宋_GB2312"/>
              </w:rPr>
              <w:t>中小企业声明函 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服务内容及服务邀请应答表 中小企业声明函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本项目专门面向中小企业采购。（提供中小企业声明函）</w:t>
            </w:r>
          </w:p>
        </w:tc>
        <w:tc>
          <w:tcPr>
            <w:tcW w:type="dxa" w:w="1661"/>
          </w:tcPr>
          <w:p>
            <w:pPr>
              <w:pStyle w:val="null3"/>
            </w:pPr>
            <w:r>
              <w:rPr>
                <w:rFonts w:ascii="仿宋_GB2312" w:hAnsi="仿宋_GB2312" w:cs="仿宋_GB2312" w:eastAsia="仿宋_GB2312"/>
              </w:rPr>
              <w:t>中小企业声明函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在磋商过程中，磋商小组认为供应商名称与营业执照、资质证书不一致，磋商小组应当将其响应文件作为无效处理。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响应文件的语言、计量单位、报价货币是否满足磋商文件要求；</w:t>
            </w:r>
          </w:p>
        </w:tc>
        <w:tc>
          <w:tcPr>
            <w:tcW w:type="dxa" w:w="3322"/>
          </w:tcPr>
          <w:p>
            <w:pPr>
              <w:pStyle w:val="null3"/>
            </w:pPr>
            <w:r>
              <w:rPr>
                <w:rFonts w:ascii="仿宋_GB2312" w:hAnsi="仿宋_GB2312" w:cs="仿宋_GB2312" w:eastAsia="仿宋_GB2312"/>
              </w:rPr>
              <w:t>在磋商过程中，磋商小组认为响应文件的语言、计量单位、报价货币不满足磋商文件要求，磋商小组应当将其响应文件作为无效处理。</w:t>
            </w:r>
          </w:p>
        </w:tc>
        <w:tc>
          <w:tcPr>
            <w:tcW w:type="dxa" w:w="1661"/>
          </w:tcPr>
          <w:p>
            <w:pPr>
              <w:pStyle w:val="null3"/>
            </w:pPr>
            <w:r>
              <w:rPr>
                <w:rFonts w:ascii="仿宋_GB2312" w:hAnsi="仿宋_GB2312" w:cs="仿宋_GB2312" w:eastAsia="仿宋_GB2312"/>
              </w:rPr>
              <w:t>服务内容及服务邀请应答表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磋商有效期是否达到磋商文件要求；</w:t>
            </w:r>
          </w:p>
        </w:tc>
        <w:tc>
          <w:tcPr>
            <w:tcW w:type="dxa" w:w="3322"/>
          </w:tcPr>
          <w:p>
            <w:pPr>
              <w:pStyle w:val="null3"/>
            </w:pPr>
            <w:r>
              <w:rPr>
                <w:rFonts w:ascii="仿宋_GB2312" w:hAnsi="仿宋_GB2312" w:cs="仿宋_GB2312" w:eastAsia="仿宋_GB2312"/>
              </w:rPr>
              <w:t>磋商有效期达不到磋商文件要求，磋商小组应当将其响应文件作为无效处理。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法定代表人证明书与法定代表人授权书.docx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是否符合法律、法规和磋商文件中规定的其他实质性要求。</w:t>
            </w:r>
          </w:p>
        </w:tc>
        <w:tc>
          <w:tcPr>
            <w:tcW w:type="dxa" w:w="3322"/>
          </w:tcPr>
          <w:p>
            <w:pPr>
              <w:pStyle w:val="null3"/>
            </w:pPr>
            <w:r>
              <w:rPr>
                <w:rFonts w:ascii="仿宋_GB2312" w:hAnsi="仿宋_GB2312" w:cs="仿宋_GB2312" w:eastAsia="仿宋_GB2312"/>
              </w:rPr>
              <w:t>在磋商过程中，磋商小组认为响应文件不符合法律、法规和磋商文件中规定的其他实质性要求，磋商小组应当将其响应文件作为无效处理。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残疾人福利性单位声明函 法定代表人证明书与法定代表人授权书.docx 商务应答表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配送服务方案</w:t>
            </w:r>
          </w:p>
        </w:tc>
        <w:tc>
          <w:tcPr>
            <w:tcW w:type="dxa" w:w="2492"/>
          </w:tcPr>
          <w:p>
            <w:pPr>
              <w:pStyle w:val="null3"/>
            </w:pPr>
            <w:r>
              <w:rPr>
                <w:rFonts w:ascii="仿宋_GB2312" w:hAnsi="仿宋_GB2312" w:cs="仿宋_GB2312" w:eastAsia="仿宋_GB2312"/>
              </w:rPr>
              <w:t>供应商提供的配送服务方案（内容包括但不限于本项目配送服务的各方面方案，如供货保障、日常管理组织、应急预案、物流配送方案及各种规章制度等）等进行评审： 1.配送服务方案具有针对性详细可行得12分； 2.配送服务方案针对性较强，内容较详细得8分； 3.配送服务方案针对性较差，内容较混乱得4分； 4.不提供不得分。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供应商提供的质量保证方案（内容包括但不限于质量安全保证具体措施、卫生安全、货物的来源、采购环节控制、加工包装保存运输等环节）进行评审： 1.质量保证方案完整、详尽，证明文件齐全得10分； 2.质量保证方案、证明文件基本完善得7分； 3.质量保证方案不够完善、证明文件不全得4分；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退换货服务方案</w:t>
            </w:r>
          </w:p>
        </w:tc>
        <w:tc>
          <w:tcPr>
            <w:tcW w:type="dxa" w:w="2492"/>
          </w:tcPr>
          <w:p>
            <w:pPr>
              <w:pStyle w:val="null3"/>
            </w:pPr>
            <w:r>
              <w:rPr>
                <w:rFonts w:ascii="仿宋_GB2312" w:hAnsi="仿宋_GB2312" w:cs="仿宋_GB2312" w:eastAsia="仿宋_GB2312"/>
              </w:rPr>
              <w:t>供应商提供针对本项目在实际服务过程中的退换货服务方案进行评审： 1.退换货服务方案具有针对性，详细可行得8分； 2.退换货服务方案针对性较强，内容合理得6分； 3.退换货服务方案针对性一般，内容较合理得3分； 4.不提供不得分。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供应商针对本项目特点、组织计划、项目组成人员进行综合赋分： 1.人员团队组织计划合理、结构清晰，项目组成人员职责任务明确、人员数量和人员专业结构配备合理，满足服务要求得10分； 2.人员团队组织配置较合理，职责任务较明确，部分满足服务要求得7分； 3.人员团队组织结构简单或配置不全得4分；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应急配送方案</w:t>
            </w:r>
          </w:p>
        </w:tc>
        <w:tc>
          <w:tcPr>
            <w:tcW w:type="dxa" w:w="2492"/>
          </w:tcPr>
          <w:p>
            <w:pPr>
              <w:pStyle w:val="null3"/>
            </w:pPr>
            <w:r>
              <w:rPr>
                <w:rFonts w:ascii="仿宋_GB2312" w:hAnsi="仿宋_GB2312" w:cs="仿宋_GB2312" w:eastAsia="仿宋_GB2312"/>
              </w:rPr>
              <w:t>供应商针对本项目的应急配送方案(包括但不限于采购人临时需求、恶劣天气影响、交通延误、食材短缺等特殊情况制定应急处理方案)： 1.应急配送方案针对性强，有相对全面的预见性，应对措施科学、有效、可行计8分； 2.应急配送方案针对性和预见性较全面，应对措施较科学、有效、基本可行计6分； 3.应急配送方案存在瑕疵，预见性或应对措施不科学、不可行的计3分； 4.不提供不得分。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安全事故应急方案</w:t>
            </w:r>
          </w:p>
        </w:tc>
        <w:tc>
          <w:tcPr>
            <w:tcW w:type="dxa" w:w="2492"/>
          </w:tcPr>
          <w:p>
            <w:pPr>
              <w:pStyle w:val="null3"/>
            </w:pPr>
            <w:r>
              <w:rPr>
                <w:rFonts w:ascii="仿宋_GB2312" w:hAnsi="仿宋_GB2312" w:cs="仿宋_GB2312" w:eastAsia="仿宋_GB2312"/>
              </w:rPr>
              <w:t>针对食品配送防护及若发生食物中毒或者其他潜在造成人员健康问题的安全事故的应急方案： 1.应急方案科学、合理、可行计10分；应急方案基本科学、较合理、可行性差计7分； 2.应急方案不科学、不合理且不可行计4分； 3.方案完全脱离本项目实际或未提供方案计不得分。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食品安全检测仪器配备</w:t>
            </w:r>
          </w:p>
        </w:tc>
        <w:tc>
          <w:tcPr>
            <w:tcW w:type="dxa" w:w="2492"/>
          </w:tcPr>
          <w:p>
            <w:pPr>
              <w:pStyle w:val="null3"/>
            </w:pPr>
            <w:r>
              <w:rPr>
                <w:rFonts w:ascii="仿宋_GB2312" w:hAnsi="仿宋_GB2312" w:cs="仿宋_GB2312" w:eastAsia="仿宋_GB2312"/>
              </w:rPr>
              <w:t>1.检测仪器设备数量充足、配置种类充分、合适本项目采购需求，得8分； 2.检测仪器配备检测仪器设备数量较充足、配置种类较充分、较合适本项目，得6分； 3.检测仪器设备数量少、配置种类少，得3分； 4.不提供不得分。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对比各供应商服务承诺： 1.承诺事项具体、可行、可操作性强得8分； 2.承诺事项较具体、可行、可操作性较强得6分； 3.承诺事项不具体或较差得3分； 4.不提供不得分。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配送设备及车辆</w:t>
            </w:r>
          </w:p>
        </w:tc>
        <w:tc>
          <w:tcPr>
            <w:tcW w:type="dxa" w:w="2492"/>
          </w:tcPr>
          <w:p>
            <w:pPr>
              <w:pStyle w:val="null3"/>
            </w:pPr>
            <w:r>
              <w:rPr>
                <w:rFonts w:ascii="仿宋_GB2312" w:hAnsi="仿宋_GB2312" w:cs="仿宋_GB2312" w:eastAsia="仿宋_GB2312"/>
              </w:rPr>
              <w:t>在管理运营期间食品配送安全准确及时，保障措施完善，具备完善的配送设备及车辆。配送车辆大于等于2辆的得6分；不足2辆的，每少1辆扣3分，扣完为止。（提供车辆的产权证或汽车租赁合同等证明材料，无证明材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具有2022年4月至今类似业绩，提供一个计2分，本项最多得10分。未提供不得分。 注：业绩证明资料以合同或中标（成交）通知书为准。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有效投标人的最低报价（落实政府采购政策进行价格调整的，以调整后的价格计算）为基准价得10分，其他各投标人的报价得分按下列公式计算：（基准价/最终磋商报价）×10％×100。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