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版本号：JXDZ2025-ZCYT-042820250429001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信息处理综治中心运维服务项目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JXDZ2025-ZCYT-0428</w:t>
      </w:r>
      <w:r>
        <w:br/>
      </w:r>
      <w:r>
        <w:br/>
      </w:r>
      <w:r>
        <w:br/>
      </w:r>
    </w:p>
    <w:p>
      <w:pPr>
        <w:pStyle w:val="null3"/>
        <w:jc w:val="center"/>
        <w:outlineLvl w:val="2"/>
      </w:pPr>
      <w:r>
        <w:rPr>
          <w:rFonts w:ascii="仿宋_GB2312" w:hAnsi="仿宋_GB2312" w:cs="仿宋_GB2312" w:eastAsia="仿宋_GB2312"/>
          <w:sz w:val="28"/>
          <w:b/>
        </w:rPr>
        <w:t>中国共产党西安市雁塔区委员会政法委员会</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中国共产党西安市雁塔区委员会政法委员会</w:t>
      </w:r>
      <w:r>
        <w:rPr>
          <w:rFonts w:ascii="仿宋_GB2312" w:hAnsi="仿宋_GB2312" w:cs="仿宋_GB2312" w:eastAsia="仿宋_GB2312"/>
        </w:rPr>
        <w:t>委托，拟对</w:t>
      </w:r>
      <w:r>
        <w:rPr>
          <w:rFonts w:ascii="仿宋_GB2312" w:hAnsi="仿宋_GB2312" w:cs="仿宋_GB2312" w:eastAsia="仿宋_GB2312"/>
        </w:rPr>
        <w:t>信息处理综治中心运维服务项目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JXDZ2025-ZCYT-0428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信息处理综治中心运维服务项目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于中共西安市雁塔区委政法委员会信息处理--综治中心运维项目。今年，为贯彻落实总书记重要指示精神和《中国共产党政法工作条例》。坚持和发展新时代“枫桥经验”，区委常委会议决定，按照“统一入驻、集成服务、一窗受理、分类处置”的工作标准、完成雁塔区社会治安综合治理中心(以下简称“区综治中心)建设及中心的有序运行。因中心的标准化、信息化建设和运行管理工作涉及范围广、建设内容多、工作强度大、专业技术要求高，迫切需要一支专业化人才队伍，以保障中心有序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采购包1（信息处理综治中心运维服务）：属于专门面向中小企业采购。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2、不接受联合体投标：本项目不接受联合体投标，(投标主体为单一供应商，无需提供声明函) 。</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中国共产党西安市雁塔区委员会政法委员会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小寨东路168号雁塔区政府院内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13379511862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029-82292656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代理服务费收费标准：招标代理服务费的收取参照国家计委关于印发《招标代理服务收费管理暂行办法》的通知（计价格〔2002〕1980号）的相关要求下浮20％收取。 交纳形式：现金或者转账。账户名称: 陕西钜信达工程项目管理有限公司西安第一分公司 账号：129918351510001 开户行：招商银行股份有限公司西安西影路支行 转账事由： （项目简称或项目编号） 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中国共产党西安市雁塔区委员会政法委员会</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中国共产党西安市雁塔区委员会政法委员会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中国共产党西安市雁塔区委员会政法委员会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联系电话：029-82292656</w:t>
      </w:r>
    </w:p>
    <w:p>
      <w:pPr>
        <w:pStyle w:val="null3"/>
      </w:pPr>
      <w:r>
        <w:rPr>
          <w:rFonts w:ascii="仿宋_GB2312" w:hAnsi="仿宋_GB2312" w:cs="仿宋_GB2312" w:eastAsia="仿宋_GB2312"/>
        </w:rPr>
        <w:t>地址：西安市雁塔区雁翔路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关于中共西安市雁塔区委政法委员会信息处理--综治中心运维项目。今年，为贯彻落实总书记重要指示精神和《中国共产党政法工作条例》。坚持和发展新时代“枫桥经验”，区委常委会议决定，按照“统一入驻、集成服务、一窗受理、分类处置”的工作标准、完成雁塔区社会治安综合治理中心(以下简称“区综治中心)建设及中心的有序运行。因中心的标准化、信息化建设和运行管理工作涉及范围广、建设内容多、工作强度大、专业技术要求高，迫切需要一支专业化人才队伍，以保障中心有序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信息处理综治中心运维服务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标的名称：信息处理综治中心运维服务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spacing w:before="315"/>
              <w:jc w:val="both"/>
            </w:pPr>
            <w:r>
              <w:rPr>
                <w:rFonts w:ascii="仿宋_GB2312" w:hAnsi="仿宋_GB2312" w:cs="仿宋_GB2312" w:eastAsia="仿宋_GB2312"/>
                <w:sz w:val="28"/>
                <w:b/>
              </w:rPr>
              <w:t>服务内容</w:t>
            </w:r>
          </w:p>
          <w:p>
            <w:pPr>
              <w:pStyle w:val="null3"/>
              <w:spacing w:before="315"/>
              <w:ind w:firstLine="560"/>
              <w:jc w:val="both"/>
            </w:pPr>
            <w:r>
              <w:rPr>
                <w:rFonts w:ascii="仿宋_GB2312" w:hAnsi="仿宋_GB2312" w:cs="仿宋_GB2312" w:eastAsia="仿宋_GB2312"/>
                <w:sz w:val="28"/>
              </w:rPr>
              <w:t>新建设的区综治中心分为三个功能区域</w:t>
            </w:r>
            <w:r>
              <w:rPr>
                <w:rFonts w:ascii="仿宋_GB2312" w:hAnsi="仿宋_GB2312" w:cs="仿宋_GB2312" w:eastAsia="仿宋_GB2312"/>
                <w:sz w:val="28"/>
              </w:rPr>
              <w:t>:一是接访区。设置在一、二层。二是办公区。设置在三、四层、三是共享区。设置在五层、负一层。新建中心集信访接待、多元调解、法律咨询、行政复议、劳动维权、诉讼服务、信息指挥、市民热线于一体、实现矛盾纠纷“前台一站接，后台分流办，多元联事调”。</w:t>
            </w:r>
          </w:p>
          <w:p>
            <w:pPr>
              <w:pStyle w:val="null3"/>
              <w:numPr>
                <w:ilvl w:val="0"/>
                <w:numId w:val="1"/>
              </w:numPr>
              <w:spacing w:before="315"/>
              <w:jc w:val="both"/>
            </w:pPr>
            <w:r>
              <w:rPr>
                <w:rFonts w:ascii="仿宋_GB2312" w:hAnsi="仿宋_GB2312" w:cs="仿宋_GB2312" w:eastAsia="仿宋_GB2312"/>
                <w:sz w:val="28"/>
                <w:b/>
              </w:rPr>
              <w:t>技术要求</w:t>
            </w:r>
          </w:p>
          <w:p>
            <w:pPr>
              <w:pStyle w:val="null3"/>
              <w:ind w:firstLine="560"/>
              <w:jc w:val="left"/>
            </w:pPr>
            <w:r>
              <w:rPr>
                <w:rFonts w:ascii="仿宋_GB2312" w:hAnsi="仿宋_GB2312" w:cs="仿宋_GB2312" w:eastAsia="仿宋_GB2312"/>
                <w:sz w:val="28"/>
              </w:rPr>
              <w:t>熟悉信息系统操作，能够准确录入、查询、统计和分析各类综治信息；数据分析与应用能力，能够运用数据分析工具，对综治相关数据进行深度挖掘和分析。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熟悉信息系统操作，能够准确录入、查询、统计和分析各类综治信息；数据分析与应用能力，能够运用数据分析工具，对综治相关数据进行深度挖掘和分析。</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满足甲方要求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第二季度初向成交单位支付费用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第三季度初向成交单位支付费用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第四季度初向成交单位支付费用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提交一正二副，书籍（胶装）方式装订的盖章的纸质文件，若正本和副本不一致的，以正本为准。送至西安市雁塔区雁翔路 111 号中京坊公寓 B 座 623 室。（2）供应商务必在开标截止时间30分钟前，通过项目电子化交易系统进行签到，如未进行签到，产生的一切后果由供应商自行承担。 （3）供应商的磋商报价包括人工费、材料与设备费、维护费、其他（运杂费、质检费、安装费、缺陷修复费、保险费，以及合同明示或暗示的风险、责任和义务等），以及管理费、税金、利润、采购代理服务费等所有费用，并符合计价规则。（4）签名是指手写签名或者加盖姓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提供书面承诺函。供应商需在项目电子化交易系统中按要求上传相应证明文件并进行电子签章。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本项目不接受联合体投标，(投标主体为单一供应商，无需提供声明函) 。</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供应商名称与获取竞争性磋商文件登记的单位名称一致</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资格证明文件.docx 响应文件封面 拟投入团队.docx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供应商对本项目情况 的理解和熟悉程度</w:t>
            </w:r>
          </w:p>
        </w:tc>
        <w:tc>
          <w:tcPr>
            <w:tcW w:type="dxa" w:w="2492"/>
          </w:tcPr>
          <w:p>
            <w:pPr>
              <w:pStyle w:val="null3"/>
            </w:pPr>
            <w:r>
              <w:rPr>
                <w:rFonts w:ascii="仿宋_GB2312" w:hAnsi="仿宋_GB2312" w:cs="仿宋_GB2312" w:eastAsia="仿宋_GB2312"/>
              </w:rPr>
              <w:t>供应商对本项目情况的理解和熟悉程度。 完全熟悉项目内容，工作计划制定合理具体、设计思路清晰， 符合本项目需求，方案整体设计科学、全面，得12分； 基本熟悉项目内容，有明确的工作实施计划 和设计思路，有基础的实施思路，得8分； 不够熟悉项目内容，有初步的工作实施计划和设计思路， 方案设计不够具体详实，得4分，未提供得0分。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供应商提供的服务方 案完整性可操作性。</w:t>
            </w:r>
          </w:p>
        </w:tc>
        <w:tc>
          <w:tcPr>
            <w:tcW w:type="dxa" w:w="2492"/>
          </w:tcPr>
          <w:p>
            <w:pPr>
              <w:pStyle w:val="null3"/>
            </w:pPr>
            <w:r>
              <w:rPr>
                <w:rFonts w:ascii="仿宋_GB2312" w:hAnsi="仿宋_GB2312" w:cs="仿宋_GB2312" w:eastAsia="仿宋_GB2312"/>
              </w:rPr>
              <w:t>供应商提供的服务方案完整性可操作性。 服务方案先进、方案周密、思路清晰合理、可操作性、科学性强，任务明确，得12分； 总体服务方案完整、具有可操作性、科学性，任务较为明确，得8分；对项目内容理解不够导致服务方案内容不够客观、具体，得4分，未提供得0分。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供应商对项目服务的承诺情况。</w:t>
            </w:r>
          </w:p>
        </w:tc>
        <w:tc>
          <w:tcPr>
            <w:tcW w:type="dxa" w:w="2492"/>
          </w:tcPr>
          <w:p>
            <w:pPr>
              <w:pStyle w:val="null3"/>
            </w:pPr>
            <w:r>
              <w:rPr>
                <w:rFonts w:ascii="仿宋_GB2312" w:hAnsi="仿宋_GB2312" w:cs="仿宋_GB2312" w:eastAsia="仿宋_GB2312"/>
              </w:rPr>
              <w:t>供应商对采购人有利的服务承诺科学可行，内容详细，有针对性，得12分； 供应商对采购人有利的服务承诺内容不够详细，响应一般，得8分； 供应商对采购人有利的服务承诺内容不清，响应较差，得4分，未提供得0分。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项目特点、难点、重 点技术问题分析和论述。</w:t>
            </w:r>
          </w:p>
        </w:tc>
        <w:tc>
          <w:tcPr>
            <w:tcW w:type="dxa" w:w="2492"/>
          </w:tcPr>
          <w:p>
            <w:pPr>
              <w:pStyle w:val="null3"/>
            </w:pPr>
            <w:r>
              <w:rPr>
                <w:rFonts w:ascii="仿宋_GB2312" w:hAnsi="仿宋_GB2312" w:cs="仿宋_GB2312" w:eastAsia="仿宋_GB2312"/>
              </w:rPr>
              <w:t>内容科学详细、明确具体得8分； 内容科学明确但存在瑕疵的得5分； 内容缺失或者描述不详细的得2分；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服务措施完善，对项 目执行过程中的技术 保证、沟通途径有明确说明。</w:t>
            </w:r>
          </w:p>
        </w:tc>
        <w:tc>
          <w:tcPr>
            <w:tcW w:type="dxa" w:w="2492"/>
          </w:tcPr>
          <w:p>
            <w:pPr>
              <w:pStyle w:val="null3"/>
            </w:pPr>
            <w:r>
              <w:rPr>
                <w:rFonts w:ascii="仿宋_GB2312" w:hAnsi="仿宋_GB2312" w:cs="仿宋_GB2312" w:eastAsia="仿宋_GB2312"/>
              </w:rPr>
              <w:t>服务措施科学详细、明确具体得8分； 服务措施科学明确但存在瑕疵的得5分； 服务措施缺失或者描述不详细的得2分；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评价方法科学、合理 、针对性强。</w:t>
            </w:r>
          </w:p>
        </w:tc>
        <w:tc>
          <w:tcPr>
            <w:tcW w:type="dxa" w:w="2492"/>
          </w:tcPr>
          <w:p>
            <w:pPr>
              <w:pStyle w:val="null3"/>
            </w:pPr>
            <w:r>
              <w:rPr>
                <w:rFonts w:ascii="仿宋_GB2312" w:hAnsi="仿宋_GB2312" w:cs="仿宋_GB2312" w:eastAsia="仿宋_GB2312"/>
              </w:rPr>
              <w:t>内容科学详细、明确具体得8分； 内容科学明确但存在瑕疵的得5分； 内容缺失或者描述不详细的得2分；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拟投入团队</w:t>
            </w:r>
          </w:p>
        </w:tc>
        <w:tc>
          <w:tcPr>
            <w:tcW w:type="dxa" w:w="2492"/>
          </w:tcPr>
          <w:p>
            <w:pPr>
              <w:pStyle w:val="null3"/>
            </w:pPr>
            <w:r>
              <w:rPr>
                <w:rFonts w:ascii="仿宋_GB2312" w:hAnsi="仿宋_GB2312" w:cs="仿宋_GB2312" w:eastAsia="仿宋_GB2312"/>
              </w:rPr>
              <w:t>人员配备数量充足、人员职责明确、分工清晰合理、相关项目实施经验丰富的，得8分； 人员配备数量较充足、职责较明确、分工较清晰合理、相关项目实施经验较丰富的，得5分； 人员配备薄弱，结构单一得2分；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针对本项目有明确的 后续服务工作安排和服务承诺</w:t>
            </w:r>
          </w:p>
        </w:tc>
        <w:tc>
          <w:tcPr>
            <w:tcW w:type="dxa" w:w="2492"/>
          </w:tcPr>
          <w:p>
            <w:pPr>
              <w:pStyle w:val="null3"/>
            </w:pPr>
            <w:r>
              <w:rPr>
                <w:rFonts w:ascii="仿宋_GB2312" w:hAnsi="仿宋_GB2312" w:cs="仿宋_GB2312" w:eastAsia="仿宋_GB2312"/>
              </w:rPr>
              <w:t>内容科学详细、明确具体得8分； 内容科学明确但存在瑕疵的得5分； 内容缺失或者描述不详细的得2分；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质量承诺保证措施</w:t>
            </w:r>
          </w:p>
        </w:tc>
        <w:tc>
          <w:tcPr>
            <w:tcW w:type="dxa" w:w="2492"/>
          </w:tcPr>
          <w:p>
            <w:pPr>
              <w:pStyle w:val="null3"/>
            </w:pPr>
            <w:r>
              <w:rPr>
                <w:rFonts w:ascii="仿宋_GB2312" w:hAnsi="仿宋_GB2312" w:cs="仿宋_GB2312" w:eastAsia="仿宋_GB2312"/>
              </w:rPr>
              <w:t>内容科学详细、明确具体得8分； 内容科学明确但存在瑕疵的得5分； 内容缺失或者描述不详细的得2分；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供应商根据本项目特点，提供具有针对性、切实、可行性、有效性的合理化建议。内容详细、科学 、合理、全面得4分；内容科学明确但存在瑕疵的得3分；内容描述不完整或内容简单得1分 ；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供应商提供2022年1月1日起（以合同签订之日为准）至今，供应商具有同类服务经验的，提供一个 合同得2分，满分2分。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满足磋商文件要求且最后报价最低的供应商的价格为投标基准价得10分，其他各供应商的最后报价得分 按下列公式计算： （投标基准价/投标报价）×10。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详见附件：拟投入团队.docx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