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版本号：2025-HZZB-00920250414002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图书采购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2025-HZZB-009</w:t>
      </w:r>
      <w:r>
        <w:br/>
      </w:r>
      <w:r>
        <w:br/>
      </w:r>
      <w:r>
        <w:br/>
      </w:r>
    </w:p>
    <w:p>
      <w:pPr>
        <w:pStyle w:val="null3"/>
        <w:jc w:val="center"/>
        <w:outlineLvl w:val="2"/>
      </w:pPr>
      <w:r>
        <w:rPr>
          <w:rFonts w:ascii="仿宋_GB2312" w:hAnsi="仿宋_GB2312" w:cs="仿宋_GB2312" w:eastAsia="仿宋_GB2312"/>
          <w:sz w:val="28"/>
          <w:b/>
        </w:rPr>
        <w:t>雁塔区图书馆</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雁塔区图书馆</w:t>
      </w:r>
      <w:r>
        <w:rPr>
          <w:rFonts w:ascii="仿宋_GB2312" w:hAnsi="仿宋_GB2312" w:cs="仿宋_GB2312" w:eastAsia="仿宋_GB2312"/>
        </w:rPr>
        <w:t>委托，拟对</w:t>
      </w:r>
      <w:r>
        <w:rPr>
          <w:rFonts w:ascii="仿宋_GB2312" w:hAnsi="仿宋_GB2312" w:cs="仿宋_GB2312" w:eastAsia="仿宋_GB2312"/>
        </w:rPr>
        <w:t>图书采购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图书采购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为提升雁塔图书馆的服务质量，促进全民阅读氛围的形成，满足不同读者群体的多样化阅读需求，助力打造书香雁塔，现需扩充馆藏资源，优化书籍结构。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p>
      <w:pPr>
        <w:pStyle w:val="null3"/>
      </w:pPr>
      <w:r>
        <w:rPr>
          <w:rFonts w:ascii="仿宋_GB2312" w:hAnsi="仿宋_GB2312" w:cs="仿宋_GB2312" w:eastAsia="仿宋_GB2312"/>
        </w:rPr>
        <w:t>3、税收缴纳证明：提供递交响应文件截止时间前半年内任意一个月的纳税证明或完税证明，依法免税的单位应提供相关证明材料。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4、社会保障资金缴纳证明：提供递交响应文件截止时间前半年内任意一个月的社会保障资金缴存单据或社保机构开具的社会保险参保缴费情况证明，依法不需要缴纳社会保障资金的单位应提供相关证明材料。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6、承诺函：提供具有履行合同所必须的设备和专业技术能力的承诺函。</w:t>
      </w:r>
    </w:p>
    <w:p>
      <w:pPr>
        <w:pStyle w:val="null3"/>
      </w:pPr>
      <w:r>
        <w:rPr>
          <w:rFonts w:ascii="仿宋_GB2312" w:hAnsi="仿宋_GB2312" w:cs="仿宋_GB2312" w:eastAsia="仿宋_GB2312"/>
        </w:rPr>
        <w:t>7、法定代表人授权书（或法定代表人证明书）：法定代表人授权委托书（附法定代表人身份证复印件及被授权人身份证复印件）；法定代表人直接参加谈判只须提供法定代表人身份证明书（附法定代表人身份证复印件）。</w:t>
      </w:r>
    </w:p>
    <w:p>
      <w:pPr>
        <w:pStyle w:val="null3"/>
      </w:pPr>
      <w:r>
        <w:rPr>
          <w:rFonts w:ascii="仿宋_GB2312" w:hAnsi="仿宋_GB2312" w:cs="仿宋_GB2312" w:eastAsia="仿宋_GB2312"/>
        </w:rPr>
        <w:t>8、联合体：本项目不接受联合体响应。</w:t>
      </w:r>
    </w:p>
    <w:p>
      <w:pPr>
        <w:pStyle w:val="null3"/>
      </w:pPr>
      <w:r>
        <w:rPr>
          <w:rFonts w:ascii="仿宋_GB2312" w:hAnsi="仿宋_GB2312" w:cs="仿宋_GB2312" w:eastAsia="仿宋_GB2312"/>
        </w:rPr>
        <w:t>9、信誉要求：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10、企业资质：具备有效的《出版物经营许可证》。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雁塔区图书馆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雁塔区图书馆经办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029-85252136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杨旭、张进花、仵严佳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15109254018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费管理暂行办法的通知》（计价格【2002】1980号）文件及国家发展委下发的《关于降低部分建设项目收费标准规范收费行为等有关问题的通知》[2011]534号文件规定的货物类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雁塔区图书馆</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雁塔区图书馆</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雁塔区图书馆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衡正国际工程咨询有限公司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合同的约定和现行国家标准、行业标准对每一项技术、服务、安全标准的履约情况进行确认。采购人有权根据需要设置出货检验、到货检验、配套服务检验等多重验收环节。必要时，采购人有权邀请图书馆行业专家或者第三方机构参与验收。参与验收的专家或者第三方机构的意见作为验收单的参考资料一并存档。验收结束后，应当出具验收单，列明各项标准的验收情况及项目总体评价，由验收双方共同签署</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联系人：杨旭、张进花、仵严佳</w:t>
      </w:r>
    </w:p>
    <w:p>
      <w:pPr>
        <w:pStyle w:val="null3"/>
      </w:pPr>
      <w:r>
        <w:rPr>
          <w:rFonts w:ascii="仿宋_GB2312" w:hAnsi="仿宋_GB2312" w:cs="仿宋_GB2312" w:eastAsia="仿宋_GB2312"/>
        </w:rPr>
        <w:t>联系电话：15109254018</w:t>
      </w:r>
    </w:p>
    <w:p>
      <w:pPr>
        <w:pStyle w:val="null3"/>
      </w:pPr>
      <w:r>
        <w:rPr>
          <w:rFonts w:ascii="仿宋_GB2312" w:hAnsi="仿宋_GB2312" w:cs="仿宋_GB2312" w:eastAsia="仿宋_GB2312"/>
        </w:rPr>
        <w:t>地址：陕西省西安市雁塔区科技西路绿地博海大厦11603室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为提升雁塔图书馆的服务质量，促进全民阅读氛围的形成，满足不同读者群体的多样化阅读需求，助力打造书香雁塔，现需扩充馆藏资源，优化书籍结构。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雁塔区图书馆图书采购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标的名称：雁塔区图书馆图书采购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p>
            <w:pPr>
              <w:pStyle w:val="null3"/>
            </w:pPr>
            <w:r>
              <w:rPr>
                <w:rFonts w:ascii="仿宋_GB2312" w:hAnsi="仿宋_GB2312" w:cs="仿宋_GB2312" w:eastAsia="仿宋_GB2312"/>
              </w:rPr>
              <w:t>本项目划分</w:t>
            </w:r>
            <w:r>
              <w:rPr>
                <w:rFonts w:ascii="仿宋_GB2312" w:hAnsi="仿宋_GB2312" w:cs="仿宋_GB2312" w:eastAsia="仿宋_GB2312"/>
              </w:rPr>
              <w:t>1</w:t>
            </w:r>
            <w:r>
              <w:rPr>
                <w:rFonts w:ascii="仿宋_GB2312" w:hAnsi="仿宋_GB2312" w:cs="仿宋_GB2312" w:eastAsia="仿宋_GB2312"/>
              </w:rPr>
              <w:t>个采购包执行。采购内容</w:t>
            </w:r>
            <w:r>
              <w:rPr>
                <w:rFonts w:ascii="仿宋_GB2312" w:hAnsi="仿宋_GB2312" w:cs="仿宋_GB2312" w:eastAsia="仿宋_GB2312"/>
              </w:rPr>
              <w:t>:</w:t>
            </w:r>
            <w:r>
              <w:rPr>
                <w:rFonts w:ascii="仿宋_GB2312" w:hAnsi="仿宋_GB2312" w:cs="仿宋_GB2312" w:eastAsia="仿宋_GB2312"/>
              </w:rPr>
              <w:t>购置</w:t>
            </w:r>
            <w:r>
              <w:rPr>
                <w:rFonts w:ascii="仿宋_GB2312" w:hAnsi="仿宋_GB2312" w:cs="仿宋_GB2312" w:eastAsia="仿宋_GB2312"/>
              </w:rPr>
              <w:t>一批</w:t>
            </w:r>
            <w:r>
              <w:rPr>
                <w:rFonts w:ascii="仿宋_GB2312" w:hAnsi="仿宋_GB2312" w:cs="仿宋_GB2312" w:eastAsia="仿宋_GB2312"/>
              </w:rPr>
              <w:t>图书（包含图书芯片加工、贴书标、编目等）。</w:t>
            </w:r>
          </w:p>
          <w:tbl>
            <w:tblPr>
              <w:tblInd w:type="dxa" w:w="195"/>
              <w:tblBorders>
                <w:top w:val="none" w:color="000000" w:sz="4"/>
                <w:left w:val="none" w:color="000000" w:sz="4"/>
                <w:bottom w:val="none" w:color="000000" w:sz="4"/>
                <w:right w:val="none" w:color="000000" w:sz="4"/>
                <w:insideH w:val="none"/>
                <w:insideV w:val="none"/>
              </w:tblBorders>
            </w:tblPr>
            <w:tblGrid>
              <w:gridCol w:w="359"/>
              <w:gridCol w:w="838"/>
              <w:gridCol w:w="656"/>
            </w:tblGrid>
            <w:tr>
              <w:tc>
                <w:tcPr>
                  <w:tcW w:type="dxa" w:w="35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30"/>
                    <w:ind w:firstLine="181"/>
                    <w:jc w:val="both"/>
                  </w:pPr>
                  <w:r>
                    <w:rPr>
                      <w:rFonts w:ascii="仿宋_GB2312" w:hAnsi="仿宋_GB2312" w:cs="仿宋_GB2312" w:eastAsia="仿宋_GB2312"/>
                      <w:sz w:val="18"/>
                      <w:b/>
                    </w:rPr>
                    <w:t>分</w:t>
                  </w:r>
                  <w:r>
                    <w:rPr>
                      <w:rFonts w:ascii="仿宋_GB2312" w:hAnsi="仿宋_GB2312" w:cs="仿宋_GB2312" w:eastAsia="仿宋_GB2312"/>
                      <w:sz w:val="18"/>
                      <w:b/>
                    </w:rPr>
                    <w:t>类</w:t>
                  </w:r>
                </w:p>
              </w:tc>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904"/>
                    <w:jc w:val="both"/>
                  </w:pPr>
                  <w:r>
                    <w:rPr>
                      <w:rFonts w:ascii="仿宋_GB2312" w:hAnsi="仿宋_GB2312" w:cs="仿宋_GB2312" w:eastAsia="仿宋_GB2312"/>
                      <w:sz w:val="18"/>
                      <w:b/>
                    </w:rPr>
                    <w:t>图</w:t>
                  </w:r>
                  <w:r>
                    <w:rPr>
                      <w:rFonts w:ascii="仿宋_GB2312" w:hAnsi="仿宋_GB2312" w:cs="仿宋_GB2312" w:eastAsia="仿宋_GB2312"/>
                      <w:sz w:val="18"/>
                      <w:b/>
                    </w:rPr>
                    <w:t>书</w:t>
                  </w:r>
                  <w:r>
                    <w:rPr>
                      <w:rFonts w:ascii="仿宋_GB2312" w:hAnsi="仿宋_GB2312" w:cs="仿宋_GB2312" w:eastAsia="仿宋_GB2312"/>
                      <w:sz w:val="18"/>
                      <w:b/>
                    </w:rPr>
                    <w:t>类</w:t>
                  </w:r>
                  <w:r>
                    <w:rPr>
                      <w:rFonts w:ascii="仿宋_GB2312" w:hAnsi="仿宋_GB2312" w:cs="仿宋_GB2312" w:eastAsia="仿宋_GB2312"/>
                      <w:sz w:val="18"/>
                      <w:b/>
                    </w:rPr>
                    <w:t>别</w:t>
                  </w:r>
                </w:p>
              </w:tc>
              <w:tc>
                <w:tcPr>
                  <w:tcW w:type="dxa" w:w="6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1"/>
                    <w:jc w:val="both"/>
                  </w:pPr>
                  <w:r>
                    <w:rPr>
                      <w:rFonts w:ascii="仿宋_GB2312" w:hAnsi="仿宋_GB2312" w:cs="仿宋_GB2312" w:eastAsia="仿宋_GB2312"/>
                      <w:sz w:val="18"/>
                      <w:b/>
                    </w:rPr>
                    <w:t>占比（</w:t>
                  </w:r>
                  <w:r>
                    <w:rPr>
                      <w:rFonts w:ascii="仿宋_GB2312" w:hAnsi="仿宋_GB2312" w:cs="仿宋_GB2312" w:eastAsia="仿宋_GB2312"/>
                      <w:sz w:val="18"/>
                      <w:b/>
                    </w:rPr>
                    <w:t>%）</w:t>
                  </w:r>
                </w:p>
              </w:tc>
            </w:tr>
            <w:tr>
              <w:tc>
                <w:tcPr>
                  <w:tcW w:type="dxa" w:w="35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30"/>
                    <w:jc w:val="both"/>
                  </w:pPr>
                  <w:r>
                    <w:rPr>
                      <w:rFonts w:ascii="仿宋_GB2312" w:hAnsi="仿宋_GB2312" w:cs="仿宋_GB2312" w:eastAsia="仿宋_GB2312"/>
                      <w:sz w:val="18"/>
                    </w:rPr>
                    <w:t>第一大类</w:t>
                  </w: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A.马列主义，毛泽东思想</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0.05</w:t>
                  </w:r>
                </w:p>
              </w:tc>
            </w:tr>
            <w:tr>
              <w:tc>
                <w:tcPr>
                  <w:tcW w:type="dxa" w:w="35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30"/>
                    <w:jc w:val="both"/>
                  </w:pPr>
                  <w:r>
                    <w:rPr>
                      <w:rFonts w:ascii="仿宋_GB2312" w:hAnsi="仿宋_GB2312" w:cs="仿宋_GB2312" w:eastAsia="仿宋_GB2312"/>
                      <w:sz w:val="18"/>
                    </w:rPr>
                    <w:t>第二大类</w:t>
                  </w: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B.哲学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7.80</w:t>
                  </w:r>
                </w:p>
              </w:tc>
            </w:tr>
            <w:tr>
              <w:tc>
                <w:tcPr>
                  <w:tcW w:type="dxa" w:w="359"/>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30"/>
                    <w:jc w:val="both"/>
                  </w:pPr>
                  <w:r>
                    <w:rPr>
                      <w:rFonts w:ascii="仿宋_GB2312" w:hAnsi="仿宋_GB2312" w:cs="仿宋_GB2312" w:eastAsia="仿宋_GB2312"/>
                      <w:sz w:val="18"/>
                    </w:rPr>
                    <w:t>第三大类</w:t>
                  </w: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C.社会科学总论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D.政治，法律</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1.75</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E.军事</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0.68</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F.经济</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G.文化，科学，教育，体育</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7.73</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H.语言，文字</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2.05</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I.文学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53.42</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J.艺术</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3.74</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K.历史 地理</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9.72</w:t>
                  </w:r>
                </w:p>
              </w:tc>
            </w:tr>
            <w:tr>
              <w:tc>
                <w:tcPr>
                  <w:tcW w:type="dxa" w:w="359"/>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30"/>
                    <w:jc w:val="both"/>
                  </w:pPr>
                  <w:r>
                    <w:rPr>
                      <w:rFonts w:ascii="仿宋_GB2312" w:hAnsi="仿宋_GB2312" w:cs="仿宋_GB2312" w:eastAsia="仿宋_GB2312"/>
                      <w:sz w:val="18"/>
                    </w:rPr>
                    <w:t>第四大类</w:t>
                  </w: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L</w:t>
                  </w:r>
                  <w:r>
                    <w:rPr>
                      <w:rFonts w:ascii="仿宋_GB2312" w:hAnsi="仿宋_GB2312" w:cs="仿宋_GB2312" w:eastAsia="仿宋_GB2312"/>
                      <w:sz w:val="18"/>
                    </w:rPr>
                    <w:t>.自然科学总论</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0.27</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M</w:t>
                  </w:r>
                  <w:r>
                    <w:rPr>
                      <w:rFonts w:ascii="仿宋_GB2312" w:hAnsi="仿宋_GB2312" w:cs="仿宋_GB2312" w:eastAsia="仿宋_GB2312"/>
                      <w:sz w:val="18"/>
                    </w:rPr>
                    <w:t>.数理科学和化学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0.71</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N</w:t>
                  </w:r>
                  <w:r>
                    <w:rPr>
                      <w:rFonts w:ascii="仿宋_GB2312" w:hAnsi="仿宋_GB2312" w:cs="仿宋_GB2312" w:eastAsia="仿宋_GB2312"/>
                      <w:sz w:val="18"/>
                    </w:rPr>
                    <w:t>.天文学，地球科学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0.66</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O</w:t>
                  </w:r>
                  <w:r>
                    <w:rPr>
                      <w:rFonts w:ascii="仿宋_GB2312" w:hAnsi="仿宋_GB2312" w:cs="仿宋_GB2312" w:eastAsia="仿宋_GB2312"/>
                      <w:sz w:val="18"/>
                    </w:rPr>
                    <w:t>.生物科学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P</w:t>
                  </w:r>
                  <w:r>
                    <w:rPr>
                      <w:rFonts w:ascii="仿宋_GB2312" w:hAnsi="仿宋_GB2312" w:cs="仿宋_GB2312" w:eastAsia="仿宋_GB2312"/>
                      <w:sz w:val="18"/>
                    </w:rPr>
                    <w:t>.医学，卫生</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2.16</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Q</w:t>
                  </w:r>
                  <w:r>
                    <w:rPr>
                      <w:rFonts w:ascii="仿宋_GB2312" w:hAnsi="仿宋_GB2312" w:cs="仿宋_GB2312" w:eastAsia="仿宋_GB2312"/>
                      <w:sz w:val="18"/>
                    </w:rPr>
                    <w:t>.农业，林业</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R</w:t>
                  </w:r>
                  <w:r>
                    <w:rPr>
                      <w:rFonts w:ascii="仿宋_GB2312" w:hAnsi="仿宋_GB2312" w:cs="仿宋_GB2312" w:eastAsia="仿宋_GB2312"/>
                      <w:sz w:val="18"/>
                    </w:rPr>
                    <w:t>.工业技术</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2.14</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S</w:t>
                  </w:r>
                  <w:r>
                    <w:rPr>
                      <w:rFonts w:ascii="仿宋_GB2312" w:hAnsi="仿宋_GB2312" w:cs="仿宋_GB2312" w:eastAsia="仿宋_GB2312"/>
                      <w:sz w:val="18"/>
                    </w:rPr>
                    <w:t>.交通运输</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0.10</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T</w:t>
                  </w:r>
                  <w:r>
                    <w:rPr>
                      <w:rFonts w:ascii="仿宋_GB2312" w:hAnsi="仿宋_GB2312" w:cs="仿宋_GB2312" w:eastAsia="仿宋_GB2312"/>
                      <w:sz w:val="18"/>
                    </w:rPr>
                    <w:t>.航空航天</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0.16</w:t>
                  </w:r>
                </w:p>
              </w:tc>
            </w:tr>
            <w:tr>
              <w:tc>
                <w:tcPr>
                  <w:tcW w:type="dxa" w:w="359"/>
                  <w:vMerge/>
                  <w:tcBorders>
                    <w:top w:val="none" w:color="000000" w:sz="4"/>
                    <w:left w:val="single" w:color="000000" w:sz="4"/>
                    <w:bottom w:val="single" w:color="000000" w:sz="4"/>
                    <w:right w:val="none" w:color="000000" w:sz="4"/>
                  </w:tcBorders>
                </w:tcP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U</w:t>
                  </w:r>
                  <w:r>
                    <w:rPr>
                      <w:rFonts w:ascii="仿宋_GB2312" w:hAnsi="仿宋_GB2312" w:cs="仿宋_GB2312" w:eastAsia="仿宋_GB2312"/>
                      <w:sz w:val="18"/>
                    </w:rPr>
                    <w:t>.环境科学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0.22</w:t>
                  </w:r>
                </w:p>
              </w:tc>
            </w:tr>
            <w:tr>
              <w:tc>
                <w:tcPr>
                  <w:tcW w:type="dxa" w:w="35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spacing w:before="30"/>
                    <w:jc w:val="both"/>
                  </w:pPr>
                  <w:r>
                    <w:rPr>
                      <w:rFonts w:ascii="仿宋_GB2312" w:hAnsi="仿宋_GB2312" w:cs="仿宋_GB2312" w:eastAsia="仿宋_GB2312"/>
                      <w:sz w:val="18"/>
                    </w:rPr>
                    <w:t>第五大类</w:t>
                  </w:r>
                </w:p>
              </w:tc>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30"/>
                    <w:ind w:firstLine="360"/>
                    <w:jc w:val="both"/>
                  </w:pPr>
                  <w:r>
                    <w:rPr>
                      <w:rFonts w:ascii="仿宋_GB2312" w:hAnsi="仿宋_GB2312" w:cs="仿宋_GB2312" w:eastAsia="仿宋_GB2312"/>
                      <w:sz w:val="18"/>
                    </w:rPr>
                    <w:t>V</w:t>
                  </w:r>
                  <w:r>
                    <w:rPr>
                      <w:rFonts w:ascii="仿宋_GB2312" w:hAnsi="仿宋_GB2312" w:cs="仿宋_GB2312" w:eastAsia="仿宋_GB2312"/>
                      <w:sz w:val="18"/>
                    </w:rPr>
                    <w:t>.综合图书</w:t>
                  </w:r>
                </w:p>
              </w:tc>
              <w:tc>
                <w:tcPr>
                  <w:tcW w:type="dxa" w:w="6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0.57</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采购要求</w:t>
            </w: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供应商必须保证</w:t>
            </w:r>
            <w:r>
              <w:rPr>
                <w:rFonts w:ascii="仿宋_GB2312" w:hAnsi="仿宋_GB2312" w:cs="仿宋_GB2312" w:eastAsia="仿宋_GB2312"/>
              </w:rPr>
              <w:t>100%</w:t>
            </w:r>
            <w:r>
              <w:rPr>
                <w:rFonts w:ascii="仿宋_GB2312" w:hAnsi="仿宋_GB2312" w:cs="仿宋_GB2312" w:eastAsia="仿宋_GB2312"/>
              </w:rPr>
              <w:t>供应正版图书，交货时采购人有权要求供应商对图书的合法供货渠道进行说明，杜绝任何盗版及非法出版物，并承担相应的法律责任。对盗版图书一经确认，采购人有权终止与该供应商签订的政府采购合同，并不排除追加其他处罚方式。</w:t>
            </w:r>
          </w:p>
          <w:p>
            <w:pPr>
              <w:pStyle w:val="null3"/>
            </w:pPr>
            <w:r>
              <w:rPr>
                <w:rFonts w:ascii="仿宋_GB2312" w:hAnsi="仿宋_GB2312" w:cs="仿宋_GB2312" w:eastAsia="仿宋_GB2312"/>
              </w:rPr>
              <w:t>2</w:t>
            </w:r>
            <w:r>
              <w:rPr>
                <w:rFonts w:ascii="仿宋_GB2312" w:hAnsi="仿宋_GB2312" w:cs="仿宋_GB2312" w:eastAsia="仿宋_GB2312"/>
              </w:rPr>
              <w:t xml:space="preserve">、所有图书质量符合《中华人民共和国产品质量法》和国家新闻出版署《图书质量管理规定》。   </w:t>
            </w:r>
          </w:p>
          <w:p>
            <w:pPr>
              <w:pStyle w:val="null3"/>
            </w:pPr>
            <w:r>
              <w:rPr>
                <w:rFonts w:ascii="仿宋_GB2312" w:hAnsi="仿宋_GB2312" w:cs="仿宋_GB2312" w:eastAsia="仿宋_GB2312"/>
              </w:rPr>
              <w:t xml:space="preserve"> </w:t>
            </w:r>
            <w:r>
              <w:rPr>
                <w:rFonts w:ascii="仿宋_GB2312" w:hAnsi="仿宋_GB2312" w:cs="仿宋_GB2312" w:eastAsia="仿宋_GB2312"/>
              </w:rPr>
              <w:t>封面印刷</w:t>
            </w:r>
            <w:r>
              <w:rPr>
                <w:rFonts w:ascii="仿宋_GB2312" w:hAnsi="仿宋_GB2312" w:cs="仿宋_GB2312" w:eastAsia="仿宋_GB2312"/>
              </w:rPr>
              <w:t>:</w:t>
            </w:r>
          </w:p>
          <w:p>
            <w:pPr>
              <w:pStyle w:val="null3"/>
            </w:pPr>
            <w:r>
              <w:rPr>
                <w:rFonts w:ascii="仿宋_GB2312" w:hAnsi="仿宋_GB2312" w:cs="仿宋_GB2312" w:eastAsia="仿宋_GB2312"/>
              </w:rPr>
              <w:t>套印准确，字、图、点、线印迹清楚，不花、不毛、不糊，使底版墨色均匀，无回胶印，背面不脏。</w:t>
            </w:r>
          </w:p>
          <w:p>
            <w:pPr>
              <w:pStyle w:val="null3"/>
            </w:pPr>
            <w:r>
              <w:rPr>
                <w:rFonts w:ascii="仿宋_GB2312" w:hAnsi="仿宋_GB2312" w:cs="仿宋_GB2312" w:eastAsia="仿宋_GB2312"/>
              </w:rPr>
              <w:t xml:space="preserve"> </w:t>
            </w:r>
            <w:r>
              <w:rPr>
                <w:rFonts w:ascii="仿宋_GB2312" w:hAnsi="仿宋_GB2312" w:cs="仿宋_GB2312" w:eastAsia="仿宋_GB2312"/>
              </w:rPr>
              <w:t>插图印刷</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插印准确，层次分明，轮廓实，电分制版无浮雕印。</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网点清晰饱满，小点不秃，大点光洁不糊，质感好。</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 墨色均匀厚实，色彩鲜艳有光泽，肤色正，接版准确，色调深浅一致。</w:t>
            </w:r>
          </w:p>
          <w:p>
            <w:pPr>
              <w:pStyle w:val="null3"/>
            </w:pPr>
            <w:r>
              <w:rPr>
                <w:rFonts w:ascii="仿宋_GB2312" w:hAnsi="仿宋_GB2312" w:cs="仿宋_GB2312" w:eastAsia="仿宋_GB2312"/>
              </w:rPr>
              <w:t xml:space="preserve"> </w:t>
            </w:r>
            <w:r>
              <w:rPr>
                <w:rFonts w:ascii="仿宋_GB2312" w:hAnsi="仿宋_GB2312" w:cs="仿宋_GB2312" w:eastAsia="仿宋_GB2312"/>
              </w:rPr>
              <w:t>正文印刷</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压力：压力适度，全书前后轻重一致。</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 墨色：全书前后墨色一致，浓淡适度。</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）套印：版面端正，正反套印准确。</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）文字：文字、标点清晰，笔锋挺秀，无缺笔断划，标题黑实不花，小字不糊不瞎。</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）其它：书面无脏污、破损，无钉花、野墨、无透页。</w:t>
            </w:r>
          </w:p>
          <w:p>
            <w:pPr>
              <w:pStyle w:val="null3"/>
            </w:pPr>
            <w:r>
              <w:rPr>
                <w:rFonts w:ascii="仿宋_GB2312" w:hAnsi="仿宋_GB2312" w:cs="仿宋_GB2312" w:eastAsia="仿宋_GB2312"/>
              </w:rPr>
              <w:t>装订</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）开本尺寸符合设计要求，套书规格一致，成品裁切方正，无明显刀花，无连接页、折角、破头。</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）书脊平整，无空脊、起泡、明显皱纹，书脊字居中，封面齐色，边框要色正。</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）全书页码折正，书面平服，无皱纹（八字折等）。骑马钉，平钉的钉脚不翘，无断丝，凸肚，钉距匀称，坚实牢固，易翻不脱页无缺页、重页、倒装。</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）其它：书目整洁，无脏污、破页、野胶。</w:t>
            </w:r>
          </w:p>
          <w:p>
            <w:pPr>
              <w:pStyle w:val="null3"/>
            </w:pPr>
            <w:r>
              <w:rPr>
                <w:rFonts w:ascii="仿宋_GB2312" w:hAnsi="仿宋_GB2312" w:cs="仿宋_GB2312" w:eastAsia="仿宋_GB2312"/>
              </w:rPr>
              <w:t>3</w:t>
            </w:r>
            <w:r>
              <w:rPr>
                <w:rFonts w:ascii="仿宋_GB2312" w:hAnsi="仿宋_GB2312" w:cs="仿宋_GB2312" w:eastAsia="仿宋_GB2312"/>
              </w:rPr>
              <w:t>、供应商保证所供图书的质量。接受采购人对有质量问题图书</w:t>
            </w:r>
            <w:r>
              <w:rPr>
                <w:rFonts w:ascii="仿宋_GB2312" w:hAnsi="仿宋_GB2312" w:cs="仿宋_GB2312" w:eastAsia="仿宋_GB2312"/>
              </w:rPr>
              <w:t>(</w:t>
            </w:r>
            <w:r>
              <w:rPr>
                <w:rFonts w:ascii="仿宋_GB2312" w:hAnsi="仿宋_GB2312" w:cs="仿宋_GB2312" w:eastAsia="仿宋_GB2312"/>
              </w:rPr>
              <w:t>如污损、图文不清、错页漏页、破损、少附件等</w:t>
            </w:r>
            <w:r>
              <w:rPr>
                <w:rFonts w:ascii="仿宋_GB2312" w:hAnsi="仿宋_GB2312" w:cs="仿宋_GB2312" w:eastAsia="仿宋_GB2312"/>
              </w:rPr>
              <w:t>)</w:t>
            </w:r>
            <w:r>
              <w:rPr>
                <w:rFonts w:ascii="仿宋_GB2312" w:hAnsi="仿宋_GB2312" w:cs="仿宋_GB2312" w:eastAsia="仿宋_GB2312"/>
              </w:rPr>
              <w:t>，或到书与原订购不符或运输途中出现遗失、破损的图书的调换退货要求，由此造成的损失及费用概由供应商承担。对于因采购人的原因出现错订、重订的问题图书，供应商应能积极协助调剂，配合采取撤订、退书、换书等方式减轻采购人的损失。</w:t>
            </w:r>
          </w:p>
          <w:p>
            <w:pPr>
              <w:pStyle w:val="null3"/>
            </w:pPr>
            <w:r>
              <w:rPr>
                <w:rFonts w:ascii="仿宋_GB2312" w:hAnsi="仿宋_GB2312" w:cs="仿宋_GB2312" w:eastAsia="仿宋_GB2312"/>
              </w:rPr>
              <w:t>4</w:t>
            </w:r>
            <w:r>
              <w:rPr>
                <w:rFonts w:ascii="仿宋_GB2312" w:hAnsi="仿宋_GB2312" w:cs="仿宋_GB2312" w:eastAsia="仿宋_GB2312"/>
              </w:rPr>
              <w:t>、供应商应保证合同项下所供图书是全新的、未使用过的。</w:t>
            </w:r>
          </w:p>
          <w:p>
            <w:pPr>
              <w:pStyle w:val="null3"/>
            </w:pPr>
            <w:r>
              <w:rPr>
                <w:rFonts w:ascii="仿宋_GB2312" w:hAnsi="仿宋_GB2312" w:cs="仿宋_GB2312" w:eastAsia="仿宋_GB2312"/>
              </w:rPr>
              <w:t>5</w:t>
            </w:r>
            <w:r>
              <w:rPr>
                <w:rFonts w:ascii="仿宋_GB2312" w:hAnsi="仿宋_GB2312" w:cs="仿宋_GB2312" w:eastAsia="仿宋_GB2312"/>
              </w:rPr>
              <w:t>、本项目所采购的图书品种及数量均由采购人决定，供应商不得自行搭配和追加非采购人确认购买的品种和数量。若发现此种情况，无论是否已作前期加工，供应商必须无条件负责退货，因此发生的一切费用（如运输、人力、物品损耗等）由成交供应商承担。同时，</w:t>
            </w:r>
            <w:r>
              <w:rPr>
                <w:rFonts w:ascii="仿宋_GB2312" w:hAnsi="仿宋_GB2312" w:cs="仿宋_GB2312" w:eastAsia="仿宋_GB2312"/>
              </w:rPr>
              <w:t>采购人有权终止与该供应商签订的政府采购合同</w:t>
            </w:r>
            <w:r>
              <w:rPr>
                <w:rFonts w:ascii="仿宋_GB2312" w:hAnsi="仿宋_GB2312" w:cs="仿宋_GB2312" w:eastAsia="仿宋_GB2312"/>
              </w:rPr>
              <w:t>。</w:t>
            </w:r>
          </w:p>
          <w:p>
            <w:pPr>
              <w:pStyle w:val="null3"/>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成交供应商供货时图书品种最低供货率不能低于</w:t>
            </w:r>
            <w:r>
              <w:rPr>
                <w:rFonts w:ascii="仿宋_GB2312" w:hAnsi="仿宋_GB2312" w:cs="仿宋_GB2312" w:eastAsia="仿宋_GB2312"/>
              </w:rPr>
              <w:t>90%</w:t>
            </w:r>
            <w:r>
              <w:rPr>
                <w:rFonts w:ascii="仿宋_GB2312" w:hAnsi="仿宋_GB2312" w:cs="仿宋_GB2312" w:eastAsia="仿宋_GB2312"/>
              </w:rPr>
              <w:t>，</w:t>
            </w:r>
            <w:r>
              <w:rPr>
                <w:rFonts w:ascii="仿宋_GB2312" w:hAnsi="仿宋_GB2312" w:cs="仿宋_GB2312" w:eastAsia="仿宋_GB2312"/>
              </w:rPr>
              <w:t>如有个别图书品种缺货需经采购人书面同意方可调换</w:t>
            </w:r>
            <w:r>
              <w:rPr>
                <w:rFonts w:ascii="仿宋_GB2312" w:hAnsi="仿宋_GB2312" w:cs="仿宋_GB2312" w:eastAsia="仿宋_GB2312"/>
              </w:rPr>
              <w:t>。</w:t>
            </w:r>
          </w:p>
          <w:p>
            <w:pPr>
              <w:pStyle w:val="null3"/>
            </w:pPr>
            <w:r>
              <w:rPr>
                <w:rFonts w:ascii="仿宋_GB2312" w:hAnsi="仿宋_GB2312" w:cs="仿宋_GB2312" w:eastAsia="仿宋_GB2312"/>
              </w:rPr>
              <w:t>7</w:t>
            </w:r>
            <w:r>
              <w:rPr>
                <w:rFonts w:ascii="仿宋_GB2312" w:hAnsi="仿宋_GB2312" w:cs="仿宋_GB2312" w:eastAsia="仿宋_GB2312"/>
              </w:rPr>
              <w:t>、采购方式</w:t>
            </w:r>
            <w:r>
              <w:rPr>
                <w:rFonts w:ascii="仿宋_GB2312" w:hAnsi="仿宋_GB2312" w:cs="仿宋_GB2312" w:eastAsia="仿宋_GB2312"/>
              </w:rPr>
              <w:t>:</w:t>
            </w:r>
            <w:r>
              <w:rPr>
                <w:rFonts w:ascii="仿宋_GB2312" w:hAnsi="仿宋_GB2312" w:cs="仿宋_GB2312" w:eastAsia="仿宋_GB2312"/>
              </w:rPr>
              <w:t>中</w:t>
            </w:r>
            <w:r>
              <w:rPr>
                <w:rFonts w:ascii="仿宋_GB2312" w:hAnsi="仿宋_GB2312" w:cs="仿宋_GB2312" w:eastAsia="仿宋_GB2312"/>
              </w:rPr>
              <w:t>标后采购方采取书单挑选与现场自选相结合地方式进行采购。</w:t>
            </w:r>
          </w:p>
          <w:p>
            <w:pPr>
              <w:pStyle w:val="null3"/>
            </w:pPr>
            <w:r>
              <w:rPr>
                <w:rFonts w:ascii="仿宋_GB2312" w:hAnsi="仿宋_GB2312" w:cs="仿宋_GB2312" w:eastAsia="仿宋_GB2312"/>
              </w:rPr>
              <w:t>8</w:t>
            </w:r>
            <w:r>
              <w:rPr>
                <w:rFonts w:ascii="仿宋_GB2312" w:hAnsi="仿宋_GB2312" w:cs="仿宋_GB2312" w:eastAsia="仿宋_GB2312"/>
              </w:rPr>
              <w:t>、供应商在递交每一批图书时，同时免费提供加盖供应商公章的该批图书的清单，并提供规范标准、信息全面的电子表格书目清单，具体信息包括书名、作者、书号、出版社、出版时间、定价、折扣、订购册数等。如遇到特殊书目有特殊信息需求，供应商需全力配合满足相应的特殊需求。</w:t>
            </w:r>
          </w:p>
          <w:p>
            <w:pPr>
              <w:pStyle w:val="null3"/>
            </w:pPr>
            <w:r>
              <w:rPr>
                <w:rFonts w:ascii="仿宋_GB2312" w:hAnsi="仿宋_GB2312" w:cs="仿宋_GB2312" w:eastAsia="仿宋_GB2312"/>
              </w:rPr>
              <w:t>9</w:t>
            </w:r>
            <w:r>
              <w:rPr>
                <w:rFonts w:ascii="仿宋_GB2312" w:hAnsi="仿宋_GB2312" w:cs="仿宋_GB2312" w:eastAsia="仿宋_GB2312"/>
              </w:rPr>
              <w:t>、供应商应积极协助采购方解决在采购过程中遇见的其他问题。</w:t>
            </w:r>
          </w:p>
          <w:p>
            <w:pPr>
              <w:pStyle w:val="null3"/>
            </w:pPr>
            <w:r>
              <w:rPr>
                <w:rFonts w:ascii="仿宋_GB2312" w:hAnsi="仿宋_GB2312" w:cs="仿宋_GB2312" w:eastAsia="仿宋_GB2312"/>
              </w:rPr>
              <w:t>10</w:t>
            </w:r>
            <w:r>
              <w:rPr>
                <w:rFonts w:ascii="仿宋_GB2312" w:hAnsi="仿宋_GB2312" w:cs="仿宋_GB2312" w:eastAsia="仿宋_GB2312"/>
              </w:rPr>
              <w:t>、加工服务</w:t>
            </w:r>
            <w:r>
              <w:rPr>
                <w:rFonts w:ascii="仿宋_GB2312" w:hAnsi="仿宋_GB2312" w:cs="仿宋_GB2312" w:eastAsia="仿宋_GB2312"/>
              </w:rPr>
              <w:t>:</w:t>
            </w:r>
            <w:r>
              <w:rPr>
                <w:rFonts w:ascii="仿宋_GB2312" w:hAnsi="仿宋_GB2312" w:cs="仿宋_GB2312" w:eastAsia="仿宋_GB2312"/>
              </w:rPr>
              <w:t>供应商须提供到馆加工服务，拆包、核对清单、芯片加工（须与本馆现有芯片兼容）、贴书标和编目等加工服务。根据采购方要求提供贴书标、芯片加工、编目等图书加工服务。以上服务涉及的相关材料及人工费用由供应商承担。</w:t>
            </w:r>
          </w:p>
          <w:p>
            <w:pPr>
              <w:pStyle w:val="null3"/>
            </w:pPr>
            <w:r>
              <w:rPr>
                <w:rFonts w:ascii="仿宋_GB2312" w:hAnsi="仿宋_GB2312" w:cs="仿宋_GB2312" w:eastAsia="仿宋_GB2312"/>
              </w:rPr>
              <w:t>11</w:t>
            </w:r>
            <w:r>
              <w:rPr>
                <w:rFonts w:ascii="仿宋_GB2312" w:hAnsi="仿宋_GB2312" w:cs="仿宋_GB2312" w:eastAsia="仿宋_GB2312"/>
              </w:rPr>
              <w:t>、采购清单</w:t>
            </w:r>
          </w:p>
          <w:p>
            <w:pPr>
              <w:pStyle w:val="null3"/>
            </w:pPr>
            <w:r>
              <w:rPr>
                <w:rFonts w:ascii="仿宋_GB2312" w:hAnsi="仿宋_GB2312" w:cs="仿宋_GB2312" w:eastAsia="仿宋_GB2312"/>
              </w:rPr>
              <w:t>采购清单详见附件</w:t>
            </w:r>
          </w:p>
          <w:p>
            <w:pPr>
              <w:pStyle w:val="null3"/>
            </w:pPr>
            <w:r>
              <w:rPr>
                <w:rFonts w:ascii="仿宋_GB2312" w:hAnsi="仿宋_GB2312" w:cs="仿宋_GB2312" w:eastAsia="仿宋_GB2312"/>
              </w:rPr>
              <w:t>说明：（</w:t>
            </w:r>
            <w:r>
              <w:rPr>
                <w:rFonts w:ascii="仿宋_GB2312" w:hAnsi="仿宋_GB2312" w:cs="仿宋_GB2312" w:eastAsia="仿宋_GB2312"/>
              </w:rPr>
              <w:t>1</w:t>
            </w:r>
            <w:r>
              <w:rPr>
                <w:rFonts w:ascii="仿宋_GB2312" w:hAnsi="仿宋_GB2312" w:cs="仿宋_GB2312" w:eastAsia="仿宋_GB2312"/>
              </w:rPr>
              <w:t>）此采购清单为基础清单，采购人可在此采购清单基础上扩展采购品种。</w:t>
            </w:r>
          </w:p>
          <w:p>
            <w:pPr>
              <w:pStyle w:val="null3"/>
              <w:jc w:val="both"/>
            </w:pPr>
            <w:r>
              <w:rPr>
                <w:rFonts w:ascii="仿宋_GB2312" w:hAnsi="仿宋_GB2312" w:cs="仿宋_GB2312" w:eastAsia="仿宋_GB2312"/>
              </w:rPr>
              <w:t>（2）最终供货率必须满足采购文件要求（成交供应商供货时图书品种最低供货率不能低于90%，如有个别图书品种缺货需经采购人书面同意方可调换）。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订购图书全部到货上架后，经采购人验收合格后予以付款。供应商应履行其价格结算折扣承诺，提供合法正规的发票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（1）采购方根据合同要求进行验收,验收依据为合同文本、谈判文件、响应文件以及由双方约定的其他协议类文本。 （2）验收合格后，填写验收单，并向采购方提交所有资料，以便使用单位日后管理和维护。 （3）验收由采购方组织，成交方配合进行。验收过程中所产生的费用由成交方承担。 （4）验收标准：按国家有关规定以及采购方谈判文件的质量要求和技术指标、成交方的响应文件及承诺与合同约定标准进行验收；采购方、成交方双方如对质量要求和技术指标的约定标准有相互抵触或异议的事项，由采购方在谈判与响应文件中按质量要求和技术指标比较优胜的原则确定该项的约定标准进行验收。 (5）验收时如发现所交付的货物有短缺、次品、损坏或其它不符合标准及本合同规定之情形者，采购方应做出详尽的现场记录，或由采购方、成交方双方签署备忘录，此现场记录或备忘录可用作补充、缺失和更换损坏部件的有效证据，由此产生的时间延误与有关费用由成交方承担，验收期限相应顺延。 （6）如质量验收合格，双方签署质量验收报告。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自本合同项下全部图书经甲方书面验收合格之日起算1年。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（1）按《中华人民共和国民法典》和《中华人民共和国政府采购法》中的相应条款执行。 （2）卖方未按买方要求提供图书，或图书品目、质量不能满足要求，买方有权拒收，卖方应无条件更换，并承担更换图书期间所发生的一切费用以及给买方所造成的损失。否则，买方有权终止合同，并对卖方的违约行为进行追究。同时报请陕西省财政厅政府采购管理处按有关规定对其进行相应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1、采购人将采取抽检方式核查成交供应商投标时提供的证明材料原件。 2、成交供应商必须无条件予以配合采购工作，如成交供应商不配合或发现响应文件中提供虚假材料的，采购人有权取消该成交供应商中标资格，并依据政府采购法律法规进一步追究该供应商责任。 3、供应商的报价以综合折扣填写。 4、供应商的报价（综合折扣）应包含为完成谈判文件规定一切工作所需的全部费用，包括：图书货款、运输费、运输保险费、装卸费、包装费、图书加工费、售后服务费、税金、验收及相关费用等。5、成交供应商在成交后，须向采购代理机构提供纸质版响应文件2套（装订成册），且提供的响应文件必须与在陕西省政府采购综合管理平台的项目电子化交易系统中递交的电子响应文件内容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提供2023年度或2024年度经审计的财务会计报告（成立时间至递交响应文件截止时间不足一年的可提供成立后任意时段的资产负债表）； 或其递交响应文件截止之日前三个月内基本开户银行出具的资信证明（附《基本存款账户信息》或《银行开户许可证》复印件）； 或政府采购信用担保机构出具的担保函；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提供具有履行合同所必须的设备和专业技术能力的承诺函。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法定代表人授权委托书（附法定代表人身份证复印件及被授权人身份证复印件）；法定代表人直接参加谈判只须提供法定代表人身份证明书（附法定代表人身份证复印件）。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 法定代表人资格证明书及法定代表人授权委托书.docx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具备有效的《出版物经营许可证》。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谈判响应文件的签字盖章</w:t>
            </w:r>
          </w:p>
        </w:tc>
        <w:tc>
          <w:tcPr>
            <w:tcW w:type="dxa" w:w="3322"/>
          </w:tcPr>
          <w:p>
            <w:pPr>
              <w:pStyle w:val="null3"/>
            </w:pPr>
            <w:r>
              <w:rPr>
                <w:rFonts w:ascii="仿宋_GB2312" w:hAnsi="仿宋_GB2312" w:cs="仿宋_GB2312" w:eastAsia="仿宋_GB2312"/>
              </w:rPr>
              <w:t>谈判响应文件的签字盖章按照谈判文件要求进行</w:t>
            </w:r>
          </w:p>
        </w:tc>
        <w:tc>
          <w:tcPr>
            <w:tcW w:type="dxa" w:w="1661"/>
          </w:tcPr>
          <w:p>
            <w:pPr>
              <w:pStyle w:val="null3"/>
            </w:pPr>
            <w:r>
              <w:rPr>
                <w:rFonts w:ascii="仿宋_GB2312" w:hAnsi="仿宋_GB2312" w:cs="仿宋_GB2312" w:eastAsia="仿宋_GB2312"/>
              </w:rPr>
              <w:t>中小企业声明函 报价表 法定代表人资格证明书及法定代表人授权委托书.docx 技术要求响应偏离表.docx 响应文件封面 《拒绝政府采购领域商业贿赂承诺书》.docx 供应商应提交的相关资格证明材料.docx 残疾人福利性单位声明函 供货方案.docx 标的清单 商务要求响应偏离表.docx 响应函 供应商认为有必要补充说明的事宜.docx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技术要求、商务要求等响应情况</w:t>
            </w:r>
          </w:p>
        </w:tc>
        <w:tc>
          <w:tcPr>
            <w:tcW w:type="dxa" w:w="3322"/>
          </w:tcPr>
          <w:p>
            <w:pPr>
              <w:pStyle w:val="null3"/>
            </w:pPr>
            <w:r>
              <w:rPr>
                <w:rFonts w:ascii="仿宋_GB2312" w:hAnsi="仿宋_GB2312" w:cs="仿宋_GB2312" w:eastAsia="仿宋_GB2312"/>
              </w:rPr>
              <w:t>技术要求、商务要求等全部响应谈判文件要求</w:t>
            </w:r>
          </w:p>
        </w:tc>
        <w:tc>
          <w:tcPr>
            <w:tcW w:type="dxa" w:w="1661"/>
          </w:tcPr>
          <w:p>
            <w:pPr>
              <w:pStyle w:val="null3"/>
            </w:pPr>
            <w:r>
              <w:rPr>
                <w:rFonts w:ascii="仿宋_GB2312" w:hAnsi="仿宋_GB2312" w:cs="仿宋_GB2312" w:eastAsia="仿宋_GB2312"/>
              </w:rPr>
              <w:t>技术要求响应偏离表.docx 商务要求响应偏离表.docx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符合谈判文件规定的有效期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谈判报价有效性</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谈判响应文件编制完整</w:t>
            </w:r>
          </w:p>
        </w:tc>
        <w:tc>
          <w:tcPr>
            <w:tcW w:type="dxa" w:w="1661"/>
          </w:tcPr>
          <w:p>
            <w:pPr>
              <w:pStyle w:val="null3"/>
            </w:pPr>
            <w:r>
              <w:rPr>
                <w:rFonts w:ascii="仿宋_GB2312" w:hAnsi="仿宋_GB2312" w:cs="仿宋_GB2312" w:eastAsia="仿宋_GB2312"/>
              </w:rPr>
              <w:t>中小企业声明函 报价表 法定代表人资格证明书及法定代表人授权委托书.docx 响应文件封面 技术要求响应偏离表.docx 《拒绝政府采购领域商业贿赂承诺书》.docx 供应商应提交的相关资格证明材料.docx 残疾人福利性单位声明函 供货方案.docx 标的清单 商务要求响应偏离表.docx 响应函 供应商认为有必要补充说明的事宜.docx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出现不符合法律、法规和谈判文件中规定的其他实质性要求的情况，响应文件作为无效处理。</w:t>
            </w:r>
          </w:p>
        </w:tc>
        <w:tc>
          <w:tcPr>
            <w:tcW w:type="dxa" w:w="1661"/>
          </w:tcPr>
          <w:p>
            <w:pPr>
              <w:pStyle w:val="null3"/>
            </w:pPr>
            <w:r>
              <w:rPr>
                <w:rFonts w:ascii="仿宋_GB2312" w:hAnsi="仿宋_GB2312" w:cs="仿宋_GB2312" w:eastAsia="仿宋_GB2312"/>
              </w:rPr>
              <w:t>中小企业声明函 报价表 法定代表人资格证明书及法定代表人授权委托书.docx 响应文件封面 技术要求响应偏离表.docx 《拒绝政府采购领域商业贿赂承诺书》.docx 供应商应提交的相关资格证明材料.docx 残疾人福利性单位声明函 供货方案.docx 标的清单 商务要求响应偏离表.docx 响应函 供应商认为有必要补充说明的事宜.docx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详见附件：法定代表人资格证明书及法定代表人授权委托书.docx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详见附件：供应商认为有必要补充说明的事宜.docx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详见附件：技术要求响应偏离表.docx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