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版本号：ZCXG-ZB-202502120250409001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主导产业分析与发展策略课题研究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ZCXG-ZB-2025021</w:t>
      </w:r>
      <w:r>
        <w:br/>
      </w:r>
      <w:r>
        <w:br/>
      </w:r>
      <w:r>
        <w:br/>
      </w:r>
    </w:p>
    <w:p>
      <w:pPr>
        <w:pStyle w:val="null3"/>
        <w:jc w:val="center"/>
        <w:outlineLvl w:val="2"/>
      </w:pPr>
      <w:r>
        <w:rPr>
          <w:rFonts w:ascii="仿宋_GB2312" w:hAnsi="仿宋_GB2312" w:cs="仿宋_GB2312" w:eastAsia="仿宋_GB2312"/>
          <w:sz w:val="28"/>
          <w:b/>
        </w:rPr>
        <w:t>中共西安市雁塔区委政策研究室</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中共西安市雁塔区委政策研究室</w:t>
      </w:r>
      <w:r>
        <w:rPr>
          <w:rFonts w:ascii="仿宋_GB2312" w:hAnsi="仿宋_GB2312" w:cs="仿宋_GB2312" w:eastAsia="仿宋_GB2312"/>
        </w:rPr>
        <w:t>委托，拟对</w:t>
      </w:r>
      <w:r>
        <w:rPr>
          <w:rFonts w:ascii="仿宋_GB2312" w:hAnsi="仿宋_GB2312" w:cs="仿宋_GB2312" w:eastAsia="仿宋_GB2312"/>
        </w:rPr>
        <w:t>主导产业分析与发展策略课题研究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主导产业分析与发展策略课题研究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主导产业分析与发展策略课题研究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中共西安市雁塔区委政策研究室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中共西安市雁塔区委政策研究室经办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代理服务费收费标准：1、根据《国家发展改革委关于进一步放开建设项目专业服务价格的通知》(发改价格[2015]299号)的有关规定执行。 代理费缴存账户：开户名称：陕西众诚项目管理有限公司 开户银行：中国建设银行股份有限公司西安八里村支行 账号：6105 0172 3700 0000 1337 行号：105791000282 （备注：项目名称包号+代理服务费） 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中共西安市雁塔区委政策研究室</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中共西安市雁塔区委政策研究室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中共西安市雁塔区委政策研究室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雁塔区主导产业分析与发展策略课题研究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雁塔区主导产业分析与发展策略课题研究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标的名称：雁塔区主导产业分析与发展策略课题研究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18"/>
                <w:b/>
                <w:color w:val="404040"/>
              </w:rPr>
              <w:t>一、采购内容</w:t>
            </w:r>
          </w:p>
          <w:p>
            <w:pPr>
              <w:pStyle w:val="null3"/>
              <w:numPr>
                <w:ilvl w:val="0"/>
                <w:numId w:val="1"/>
              </w:numPr>
              <w:ind w:left="120"/>
              <w:jc w:val="left"/>
            </w:pPr>
            <w:r>
              <w:rPr>
                <w:rFonts w:ascii="仿宋_GB2312" w:hAnsi="仿宋_GB2312" w:cs="仿宋_GB2312" w:eastAsia="仿宋_GB2312"/>
                <w:sz w:val="18"/>
                <w:b/>
                <w:color w:val="404040"/>
              </w:rPr>
              <w:t>雁塔区产业发展现状分析</w:t>
            </w:r>
          </w:p>
          <w:p>
            <w:pPr>
              <w:pStyle w:val="null3"/>
              <w:numPr>
                <w:ilvl w:val="1"/>
                <w:numId w:val="1"/>
              </w:numPr>
              <w:ind w:left="120"/>
              <w:jc w:val="left"/>
            </w:pPr>
            <w:r>
              <w:rPr>
                <w:rFonts w:ascii="仿宋_GB2312" w:hAnsi="仿宋_GB2312" w:cs="仿宋_GB2312" w:eastAsia="仿宋_GB2312"/>
                <w:sz w:val="18"/>
                <w:color w:val="404040"/>
              </w:rPr>
              <w:t>系统梳理雁塔区产业基础、经济结构、资源禀赋及发展现状，形成产业全景图谱。</w:t>
            </w:r>
          </w:p>
          <w:p>
            <w:pPr>
              <w:pStyle w:val="null3"/>
              <w:numPr>
                <w:ilvl w:val="1"/>
                <w:numId w:val="1"/>
              </w:numPr>
              <w:ind w:left="120"/>
              <w:jc w:val="left"/>
            </w:pPr>
            <w:r>
              <w:rPr>
                <w:rFonts w:ascii="仿宋_GB2312" w:hAnsi="仿宋_GB2312" w:cs="仿宋_GB2312" w:eastAsia="仿宋_GB2312"/>
                <w:sz w:val="18"/>
                <w:color w:val="404040"/>
              </w:rPr>
              <w:t>分析雁塔区主导产业的产业链布局、龙头企业分布及产业集聚情况。</w:t>
            </w:r>
          </w:p>
          <w:p>
            <w:pPr>
              <w:pStyle w:val="null3"/>
              <w:numPr>
                <w:ilvl w:val="1"/>
                <w:numId w:val="1"/>
              </w:numPr>
              <w:ind w:left="120"/>
              <w:jc w:val="left"/>
            </w:pPr>
            <w:r>
              <w:rPr>
                <w:rFonts w:ascii="仿宋_GB2312" w:hAnsi="仿宋_GB2312" w:cs="仿宋_GB2312" w:eastAsia="仿宋_GB2312"/>
                <w:sz w:val="18"/>
                <w:color w:val="404040"/>
              </w:rPr>
              <w:t>评估雁塔区产业发展优势与短板（包括政策环境、创新能力、人才储备、基础设施等）。</w:t>
            </w:r>
          </w:p>
          <w:p>
            <w:pPr>
              <w:pStyle w:val="null3"/>
              <w:numPr>
                <w:ilvl w:val="1"/>
                <w:numId w:val="1"/>
              </w:numPr>
              <w:ind w:left="120"/>
              <w:jc w:val="left"/>
            </w:pPr>
            <w:r>
              <w:rPr>
                <w:rFonts w:ascii="仿宋_GB2312" w:hAnsi="仿宋_GB2312" w:cs="仿宋_GB2312" w:eastAsia="仿宋_GB2312"/>
                <w:sz w:val="18"/>
                <w:color w:val="404040"/>
              </w:rPr>
              <w:t>结合国内外产业发展趋势，识别雁塔区面临的机遇与挑战。</w:t>
            </w:r>
          </w:p>
          <w:p>
            <w:pPr>
              <w:pStyle w:val="null3"/>
              <w:numPr>
                <w:ilvl w:val="0"/>
                <w:numId w:val="1"/>
              </w:numPr>
              <w:ind w:left="120"/>
              <w:jc w:val="left"/>
            </w:pPr>
            <w:r>
              <w:rPr>
                <w:rFonts w:ascii="仿宋_GB2312" w:hAnsi="仿宋_GB2312" w:cs="仿宋_GB2312" w:eastAsia="仿宋_GB2312"/>
                <w:sz w:val="18"/>
                <w:b/>
                <w:color w:val="404040"/>
              </w:rPr>
              <w:t>主导产业选择与竞争力评价</w:t>
            </w:r>
          </w:p>
          <w:p>
            <w:pPr>
              <w:pStyle w:val="null3"/>
              <w:numPr>
                <w:ilvl w:val="1"/>
                <w:numId w:val="1"/>
              </w:numPr>
              <w:ind w:left="120"/>
              <w:jc w:val="left"/>
            </w:pPr>
            <w:r>
              <w:rPr>
                <w:rFonts w:ascii="仿宋_GB2312" w:hAnsi="仿宋_GB2312" w:cs="仿宋_GB2312" w:eastAsia="仿宋_GB2312"/>
                <w:sz w:val="18"/>
                <w:color w:val="404040"/>
              </w:rPr>
              <w:t>建立主导产业选择评价指标体系（包括经济贡献度、成长性、就业带动能力、技术创新能力等）。</w:t>
            </w:r>
          </w:p>
          <w:p>
            <w:pPr>
              <w:pStyle w:val="null3"/>
              <w:numPr>
                <w:ilvl w:val="1"/>
                <w:numId w:val="1"/>
              </w:numPr>
              <w:ind w:left="120"/>
              <w:jc w:val="left"/>
            </w:pPr>
            <w:r>
              <w:rPr>
                <w:rFonts w:ascii="仿宋_GB2312" w:hAnsi="仿宋_GB2312" w:cs="仿宋_GB2312" w:eastAsia="仿宋_GB2312"/>
                <w:sz w:val="18"/>
                <w:color w:val="404040"/>
              </w:rPr>
              <w:t>通过定量分析与定性分析，筛选雁塔区未来主导产业方向。</w:t>
            </w:r>
          </w:p>
          <w:p>
            <w:pPr>
              <w:pStyle w:val="null3"/>
              <w:numPr>
                <w:ilvl w:val="1"/>
                <w:numId w:val="1"/>
              </w:numPr>
              <w:ind w:left="120"/>
              <w:jc w:val="left"/>
            </w:pPr>
            <w:r>
              <w:rPr>
                <w:rFonts w:ascii="仿宋_GB2312" w:hAnsi="仿宋_GB2312" w:cs="仿宋_GB2312" w:eastAsia="仿宋_GB2312"/>
                <w:sz w:val="18"/>
                <w:color w:val="404040"/>
              </w:rPr>
              <w:t>对标国内先进区域，提出雁塔区主导产业的差异化发展路径。</w:t>
            </w:r>
          </w:p>
          <w:p>
            <w:pPr>
              <w:pStyle w:val="null3"/>
              <w:numPr>
                <w:ilvl w:val="0"/>
                <w:numId w:val="1"/>
              </w:numPr>
              <w:ind w:left="120"/>
              <w:jc w:val="left"/>
            </w:pPr>
            <w:r>
              <w:rPr>
                <w:rFonts w:ascii="仿宋_GB2312" w:hAnsi="仿宋_GB2312" w:cs="仿宋_GB2312" w:eastAsia="仿宋_GB2312"/>
                <w:sz w:val="18"/>
                <w:b/>
                <w:color w:val="404040"/>
              </w:rPr>
              <w:t>现代化产业体系构建策略</w:t>
            </w:r>
          </w:p>
          <w:p>
            <w:pPr>
              <w:pStyle w:val="null3"/>
              <w:numPr>
                <w:ilvl w:val="1"/>
                <w:numId w:val="1"/>
              </w:numPr>
              <w:ind w:left="120"/>
              <w:jc w:val="left"/>
            </w:pPr>
            <w:r>
              <w:rPr>
                <w:rFonts w:ascii="仿宋_GB2312" w:hAnsi="仿宋_GB2312" w:cs="仿宋_GB2312" w:eastAsia="仿宋_GB2312"/>
                <w:sz w:val="18"/>
                <w:color w:val="404040"/>
              </w:rPr>
              <w:t>分产业提出做优做强主导产业的实施路径，包括产业链补链延链、产业集群培育、创新生态建设等。</w:t>
            </w:r>
          </w:p>
          <w:p>
            <w:pPr>
              <w:pStyle w:val="null3"/>
              <w:numPr>
                <w:ilvl w:val="1"/>
                <w:numId w:val="1"/>
              </w:numPr>
              <w:ind w:left="120"/>
              <w:jc w:val="left"/>
            </w:pPr>
            <w:r>
              <w:rPr>
                <w:rFonts w:ascii="仿宋_GB2312" w:hAnsi="仿宋_GB2312" w:cs="仿宋_GB2312" w:eastAsia="仿宋_GB2312"/>
                <w:sz w:val="18"/>
                <w:color w:val="404040"/>
              </w:rPr>
              <w:t>提出雁塔区优化产业空间布局建议。</w:t>
            </w:r>
          </w:p>
          <w:p>
            <w:pPr>
              <w:pStyle w:val="null3"/>
              <w:numPr>
                <w:ilvl w:val="1"/>
                <w:numId w:val="1"/>
              </w:numPr>
              <w:ind w:left="120"/>
              <w:jc w:val="left"/>
            </w:pPr>
            <w:r>
              <w:rPr>
                <w:rFonts w:ascii="仿宋_GB2312" w:hAnsi="仿宋_GB2312" w:cs="仿宋_GB2312" w:eastAsia="仿宋_GB2312"/>
                <w:sz w:val="18"/>
                <w:color w:val="404040"/>
              </w:rPr>
              <w:t>提出数字化转型、绿色低碳转型等新型发展策略，推动产业升级。</w:t>
            </w:r>
          </w:p>
          <w:p>
            <w:pPr>
              <w:pStyle w:val="null3"/>
              <w:numPr>
                <w:ilvl w:val="0"/>
                <w:numId w:val="1"/>
              </w:numPr>
              <w:ind w:left="120"/>
              <w:jc w:val="left"/>
            </w:pPr>
            <w:r>
              <w:rPr>
                <w:rFonts w:ascii="仿宋_GB2312" w:hAnsi="仿宋_GB2312" w:cs="仿宋_GB2312" w:eastAsia="仿宋_GB2312"/>
                <w:sz w:val="18"/>
                <w:b/>
                <w:color w:val="404040"/>
              </w:rPr>
              <w:t>保障措施与政策建议</w:t>
            </w:r>
          </w:p>
          <w:p>
            <w:pPr>
              <w:pStyle w:val="null3"/>
              <w:numPr>
                <w:ilvl w:val="1"/>
                <w:numId w:val="1"/>
              </w:numPr>
              <w:ind w:left="120"/>
              <w:jc w:val="left"/>
            </w:pPr>
            <w:r>
              <w:rPr>
                <w:rFonts w:ascii="仿宋_GB2312" w:hAnsi="仿宋_GB2312" w:cs="仿宋_GB2312" w:eastAsia="仿宋_GB2312"/>
                <w:sz w:val="18"/>
                <w:color w:val="404040"/>
              </w:rPr>
              <w:t>制定产业发展的配套政策体系（如人才引进、财税支持、土地供给、金融扶持等）。</w:t>
            </w:r>
          </w:p>
          <w:p>
            <w:pPr>
              <w:pStyle w:val="null3"/>
              <w:numPr>
                <w:ilvl w:val="1"/>
                <w:numId w:val="1"/>
              </w:numPr>
              <w:ind w:left="120"/>
              <w:jc w:val="left"/>
            </w:pPr>
            <w:r>
              <w:rPr>
                <w:rFonts w:ascii="仿宋_GB2312" w:hAnsi="仿宋_GB2312" w:cs="仿宋_GB2312" w:eastAsia="仿宋_GB2312"/>
                <w:sz w:val="18"/>
                <w:color w:val="404040"/>
              </w:rPr>
              <w:t>提出跨部门协同机制、企业服务优化方案及重大项目推进计划。</w:t>
            </w:r>
          </w:p>
          <w:p>
            <w:pPr>
              <w:pStyle w:val="null3"/>
              <w:jc w:val="left"/>
            </w:pPr>
            <w:r>
              <w:rPr>
                <w:rFonts w:ascii="仿宋_GB2312" w:hAnsi="仿宋_GB2312" w:cs="仿宋_GB2312" w:eastAsia="仿宋_GB2312"/>
                <w:sz w:val="18"/>
                <w:b/>
                <w:color w:val="404040"/>
              </w:rPr>
              <w:t>二、技术要求</w:t>
            </w:r>
          </w:p>
          <w:p>
            <w:pPr>
              <w:pStyle w:val="null3"/>
              <w:numPr>
                <w:ilvl w:val="0"/>
                <w:numId w:val="1"/>
              </w:numPr>
              <w:ind w:left="120"/>
              <w:jc w:val="left"/>
            </w:pPr>
            <w:r>
              <w:rPr>
                <w:rFonts w:ascii="仿宋_GB2312" w:hAnsi="仿宋_GB2312" w:cs="仿宋_GB2312" w:eastAsia="仿宋_GB2312"/>
                <w:sz w:val="18"/>
                <w:b/>
                <w:color w:val="404040"/>
              </w:rPr>
              <w:t>研究团队要求</w:t>
            </w:r>
          </w:p>
          <w:p>
            <w:pPr>
              <w:pStyle w:val="null3"/>
              <w:numPr>
                <w:ilvl w:val="1"/>
                <w:numId w:val="1"/>
              </w:numPr>
              <w:ind w:left="120"/>
              <w:jc w:val="left"/>
            </w:pPr>
            <w:r>
              <w:rPr>
                <w:rFonts w:ascii="仿宋_GB2312" w:hAnsi="仿宋_GB2312" w:cs="仿宋_GB2312" w:eastAsia="仿宋_GB2312"/>
                <w:sz w:val="18"/>
                <w:color w:val="404040"/>
              </w:rPr>
              <w:t>投标方需具备区域经济研究、产业规划领域相关经验，具有产业经济、城市规划、数据分析的相关能力。</w:t>
            </w:r>
          </w:p>
          <w:p>
            <w:pPr>
              <w:pStyle w:val="null3"/>
              <w:numPr>
                <w:ilvl w:val="0"/>
                <w:numId w:val="1"/>
              </w:numPr>
              <w:ind w:left="120"/>
              <w:jc w:val="left"/>
            </w:pPr>
            <w:r>
              <w:rPr>
                <w:rFonts w:ascii="仿宋_GB2312" w:hAnsi="仿宋_GB2312" w:cs="仿宋_GB2312" w:eastAsia="仿宋_GB2312"/>
                <w:sz w:val="18"/>
                <w:b/>
                <w:color w:val="404040"/>
              </w:rPr>
              <w:t>成果交付要求</w:t>
            </w:r>
          </w:p>
          <w:p>
            <w:pPr>
              <w:pStyle w:val="null3"/>
              <w:numPr>
                <w:ilvl w:val="1"/>
                <w:numId w:val="1"/>
              </w:numPr>
              <w:ind w:left="120"/>
              <w:jc w:val="left"/>
            </w:pPr>
            <w:r>
              <w:rPr>
                <w:rFonts w:ascii="仿宋_GB2312" w:hAnsi="仿宋_GB2312" w:cs="仿宋_GB2312" w:eastAsia="仿宋_GB2312"/>
                <w:sz w:val="18"/>
                <w:color w:val="404040"/>
              </w:rPr>
              <w:t>提交《雁塔区主导产业分析与发展策略研究报告》（含文字报告、数据图表、规划图件）。</w:t>
            </w:r>
          </w:p>
          <w:p>
            <w:pPr>
              <w:pStyle w:val="null3"/>
              <w:numPr>
                <w:ilvl w:val="0"/>
                <w:numId w:val="1"/>
              </w:numPr>
              <w:ind w:left="120"/>
              <w:jc w:val="left"/>
            </w:pPr>
            <w:r>
              <w:rPr>
                <w:rFonts w:ascii="仿宋_GB2312" w:hAnsi="仿宋_GB2312" w:cs="仿宋_GB2312" w:eastAsia="仿宋_GB2312"/>
                <w:sz w:val="18"/>
                <w:b/>
                <w:color w:val="404040"/>
              </w:rPr>
              <w:t>验收标准</w:t>
            </w:r>
          </w:p>
          <w:p>
            <w:pPr>
              <w:pStyle w:val="null3"/>
              <w:numPr>
                <w:ilvl w:val="1"/>
                <w:numId w:val="1"/>
              </w:numPr>
              <w:ind w:left="120"/>
              <w:jc w:val="left"/>
            </w:pPr>
            <w:r>
              <w:rPr>
                <w:rFonts w:ascii="仿宋_GB2312" w:hAnsi="仿宋_GB2312" w:cs="仿宋_GB2312" w:eastAsia="仿宋_GB2312"/>
                <w:sz w:val="18"/>
                <w:color w:val="404040"/>
              </w:rPr>
              <w:t>报告需逻辑清晰、数据翔实，引用数据来源权威（如国家统计局、雁塔区年鉴、企业年报等）。</w:t>
            </w:r>
          </w:p>
          <w:p>
            <w:pPr>
              <w:pStyle w:val="null3"/>
              <w:numPr>
                <w:ilvl w:val="1"/>
                <w:numId w:val="1"/>
              </w:numPr>
              <w:ind w:left="120"/>
              <w:jc w:val="left"/>
            </w:pPr>
            <w:r>
              <w:rPr>
                <w:rFonts w:ascii="仿宋_GB2312" w:hAnsi="仿宋_GB2312" w:cs="仿宋_GB2312" w:eastAsia="仿宋_GB2312"/>
                <w:sz w:val="18"/>
                <w:color w:val="404040"/>
              </w:rPr>
              <w:t>策略建议需具备可操作性，明确责任主体、实施步骤及预期成效。</w:t>
            </w:r>
          </w:p>
          <w:p>
            <w:pPr>
              <w:pStyle w:val="null3"/>
              <w:jc w:val="left"/>
            </w:pPr>
            <w:r>
              <w:rPr>
                <w:rFonts w:ascii="仿宋_GB2312" w:hAnsi="仿宋_GB2312" w:cs="仿宋_GB2312" w:eastAsia="仿宋_GB2312"/>
                <w:sz w:val="18"/>
                <w:b/>
                <w:color w:val="404040"/>
              </w:rPr>
              <w:t>三、其他要求</w:t>
            </w:r>
          </w:p>
          <w:p>
            <w:pPr>
              <w:pStyle w:val="null3"/>
              <w:numPr>
                <w:ilvl w:val="0"/>
                <w:numId w:val="1"/>
              </w:numPr>
              <w:ind w:left="120"/>
              <w:jc w:val="left"/>
            </w:pPr>
            <w:r>
              <w:rPr>
                <w:rFonts w:ascii="仿宋_GB2312" w:hAnsi="仿宋_GB2312" w:cs="仿宋_GB2312" w:eastAsia="仿宋_GB2312"/>
                <w:sz w:val="18"/>
                <w:b/>
                <w:color w:val="404040"/>
              </w:rPr>
              <w:t>知识产权</w:t>
            </w:r>
          </w:p>
          <w:p>
            <w:pPr>
              <w:pStyle w:val="null3"/>
              <w:numPr>
                <w:ilvl w:val="1"/>
                <w:numId w:val="1"/>
              </w:numPr>
              <w:ind w:left="120"/>
              <w:jc w:val="left"/>
            </w:pPr>
            <w:r>
              <w:rPr>
                <w:rFonts w:ascii="仿宋_GB2312" w:hAnsi="仿宋_GB2312" w:cs="仿宋_GB2312" w:eastAsia="仿宋_GB2312"/>
                <w:sz w:val="18"/>
                <w:color w:val="404040"/>
              </w:rPr>
              <w:t>研究成果知识产权归采购方所有，未经许可不得公开发表或用于其他项目。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需具备区域经济研究、产业规划领域相关经验，具有产业经济、城市规划、数据分析的相关能力。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合同签订后3个月内完成全部研究及验收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1、报告需逻辑清晰、数据翔实，引用数据来源权威（如国家统计局、雁塔区年鉴、企业年报等）。 2、策略建议需具备可操作性，明确责任主体、实施步骤及预期成效。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服务完成且经验收合格后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供应商针对本项目的项目背景进行理解分析。 项目背景分析切合实际，整体理解清晰明确，关于项目的成果目标理解完善的得10分；项目背景分析基本准确，整体理解清晰明确，关于成果目标理解程度有所偏差的得7分；项目背景分析有部分偏差，整体理解基本准确，关于成果目标理解有所偏差4分；项目背景分析错误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编制思路</w:t>
            </w:r>
          </w:p>
        </w:tc>
        <w:tc>
          <w:tcPr>
            <w:tcW w:type="dxa" w:w="2492"/>
          </w:tcPr>
          <w:p>
            <w:pPr>
              <w:pStyle w:val="null3"/>
            </w:pPr>
            <w:r>
              <w:rPr>
                <w:rFonts w:ascii="仿宋_GB2312" w:hAnsi="仿宋_GB2312" w:cs="仿宋_GB2312" w:eastAsia="仿宋_GB2312"/>
              </w:rPr>
              <w:t>供应商针对本项目需要形成的成果进行其编制思路的表述。 编制成果的整体思路表述明确，方法有一定的先进性得10分；编制成果的整体思路基本明晰，但方法没有体现先进性得7分；编制成果的整体思路较为明确，方法没有体现先进性得4分；编制成果的思路混乱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供应商基于对关键问题的分析提出相应的应对方案。 关键性问题把握准确，解决方案切实可行，能对应处理全部关键性问题的得10分；关键性问题把握准确，但解决方案执行有一定困难的得7分；能把握部分的关键问题，但解决方案执行有一定困难的得4分； 未提供或无法把握关键性问题得0分。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根据供应商提供的实施方案中项目的工作步骤、质量控制、进度控制及保证措施全面、规范、合理程度进行评分。 工作步骤清晰，各项控制制度全面，规范，合理可行得10分；工作步骤不够清晰，各项控制制度全面，规范，合理可行得7分；工作步骤不够清晰，各项控制制度规范但不够全面得4分；工作步骤及控制制度不够规范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后续服务方案内容详实全面、科学合理、有针对性，可确保工作优质、高效、如期完成，得5分；后续服务方案内容较详实、合理、有针对性，基本可确保工作较好、如期完成，得3分；后续服务方案内容一般，针对性不强，基本可确保工作如期完成，得1分；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进度及成果控制</w:t>
            </w:r>
          </w:p>
        </w:tc>
        <w:tc>
          <w:tcPr>
            <w:tcW w:type="dxa" w:w="2492"/>
          </w:tcPr>
          <w:p>
            <w:pPr>
              <w:pStyle w:val="null3"/>
            </w:pPr>
            <w:r>
              <w:rPr>
                <w:rFonts w:ascii="仿宋_GB2312" w:hAnsi="仿宋_GB2312" w:cs="仿宋_GB2312" w:eastAsia="仿宋_GB2312"/>
              </w:rPr>
              <w:t>根据供应商提供的对相关进度要求、时限要求、成果书面文件质量等做出承诺。承诺全面、详实，服务质量配合承诺清晰明确，得5分；承诺较为详实全面，服务质量配合承诺基本完善，得3分；承诺不全面，服务质量配合承诺较为简略，得1分；无相关的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承诺全面、详实，服务质量配合承诺清晰明确，得5分；承诺较为详实全面，服务质量配合承诺基本完善，得3分；承诺不全面，服务质量配合承诺较为简略，得1分；无相关的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服务能力保障</w:t>
            </w:r>
          </w:p>
        </w:tc>
        <w:tc>
          <w:tcPr>
            <w:tcW w:type="dxa" w:w="2492"/>
          </w:tcPr>
          <w:p>
            <w:pPr>
              <w:pStyle w:val="null3"/>
            </w:pPr>
            <w:r>
              <w:rPr>
                <w:rFonts w:ascii="仿宋_GB2312" w:hAnsi="仿宋_GB2312" w:cs="仿宋_GB2312" w:eastAsia="仿宋_GB2312"/>
              </w:rPr>
              <w:t>对供应商的服务能力保障措施进行赋分。 服务能力保障措施合理可靠，并且具备明确的可行性得10分；服务能力保障措施基本合理，但可行性有所缺失得7分；服务能力保障措施及可行性均欠妥，有执行的困难得4分；未提供或无法实施得0分。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措施全面、完备健全，具有针对性、可操作性，得5分；措施较全面、可操作性较好，得3分；措施操作性不强，得1分；措施不合理，或未提供得0分。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供应商拟派往本项目的人员组成中，每提供一个相关专业的高级职称人员得2分，每提供一个相关专业的中级职称人员得1分。最高得10分。（须提供相关证书复印件和劳动合同复印件加盖单位公章）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提供2022年4月至今类似项目业绩，每提供一个类似项目业绩加2分，最高得10分。（须提供的项目合同复印件加盖单位公章）。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 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