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版本号：SXSJHT2025-11420250512001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2025年度智慧环卫车联网考核平台项目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SXSJHT2025-114</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陕西盛世嘉和招标有限公司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陕西盛世嘉和招标有限公司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2025年度智慧环卫车联网考核平台项目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SXSJHT2025-114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2025年度智慧环卫车联网考核平台项目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西安市雁塔区城市管理和综合执法局智慧环卫车联网考核平台采购项目需服务提供商提供全套系统的软件模块、硬件设备租赁服务，并提供系统集成安装、部署、调试和运维服务。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采购包1（2025年度智慧环卫车联网考核平台项目）：属于专门面向小微企业采购。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2、财务状况报告：提供2023年度的财务审计报告，或2024年度的财务审计报告，或开标前三个月内其基本存款账户开户银行出具的资信证明及基本存款账户开户许可证（基本存款账户信息）；</w:t>
      </w:r>
    </w:p>
    <w:p>
      <w:pPr>
        <w:pStyle w:val="null3"/>
      </w:pPr>
      <w:r>
        <w:rPr>
          <w:rFonts w:ascii="仿宋_GB2312" w:hAnsi="仿宋_GB2312" w:cs="仿宋_GB2312" w:eastAsia="仿宋_GB2312"/>
        </w:rPr>
        <w:t>3、税收缴纳证明：提供2025年1月1日至今任意一个月的纳税证明或完税证明（任意税种），依法免税的单位应提供相关证明材料；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4、社会保障资金缴纳证明：提供2025年1月1日任意一个月的社会保障资金缴存单据或社保机构开具的社会保险参保缴费情况证明，依法不需要缴纳社会保障资金的单位应提供相关证明材料；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7、法定代表人授权书代表人身份证明：法定代表人授权书（附法定代表人、被授权人身份证复印件）及被授权人身份证（法定代表人直接参加投标，须提供法定代表人身份证明及身份证原件）；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信用记录：供应商不得为“信用中国”网站（www.creditchina.gov.cn）中列入“失信被执行人（页面跳转至“中国执行信息公开网”网站（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西安市雁塔区东仪路176号东仪厂院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029-89313912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陕西盛世嘉和招标有限公司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西安市高新区团结南路12号西安国际人才大厦A座15楼1503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029-88601068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和《国家发改委办公厅关于印发&lt;招标代理服务收费管理暂行办法&gt;的通知》(发改办价格【2003】857号)规定执行。若最终代理服务费不足5000元，按5000元记取费用。在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陕西盛世嘉和招标有限公司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陕西盛世嘉和招标有限公司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陕西盛世嘉和招标有限公司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具体详见服务合同相应条款。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陕西盛世嘉和招标有限公司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陕西盛世嘉和招标有限公司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陕西盛世嘉和招标有限公司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联系人：陕西盛世嘉和招标有限公司</w:t>
      </w:r>
    </w:p>
    <w:p>
      <w:pPr>
        <w:pStyle w:val="null3"/>
      </w:pPr>
      <w:r>
        <w:rPr>
          <w:rFonts w:ascii="仿宋_GB2312" w:hAnsi="仿宋_GB2312" w:cs="仿宋_GB2312" w:eastAsia="仿宋_GB2312"/>
        </w:rPr>
        <w:t>联系电话：029-88601068</w:t>
      </w:r>
    </w:p>
    <w:p>
      <w:pPr>
        <w:pStyle w:val="null3"/>
      </w:pPr>
      <w:r>
        <w:rPr>
          <w:rFonts w:ascii="仿宋_GB2312" w:hAnsi="仿宋_GB2312" w:cs="仿宋_GB2312" w:eastAsia="仿宋_GB2312"/>
        </w:rPr>
        <w:t>地址：西安市高新区团结南路12号西安国际人才大厦A座15楼1503 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西安市雁塔区城市管理和综合执法局智慧环卫车联网考核平台采购项目需服务提供商提供全套系统的软件模块、硬件设备租赁服务，并提供系统集成安装、部署、调试和运维服务。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环卫作业车辆智慧管理系统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标的名称：环卫作业车辆智慧管理系统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项目概况：西安市雁塔区城市管理和综合执法局智慧环卫车联网考核平台采购项目需服务提供商提供全套系统的软件模块、硬件设备租赁服务，并提供系统集成安装、部署、调试和运维服务。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采购内容：全套系统的软件模块、硬件设备租赁服务，并提供系统集成安装、部署、调试和运维服务。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质量要求：符合国家（行业）强制性标准要求。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20"/>
              <w:ind w:right="120"/>
              <w:jc w:val="both"/>
            </w:pPr>
            <w:r>
              <w:rPr>
                <w:rFonts w:ascii="仿宋_GB2312" w:hAnsi="仿宋_GB2312" w:cs="仿宋_GB2312" w:eastAsia="仿宋_GB2312"/>
                <w:sz w:val="21"/>
              </w:rPr>
              <w:t>服务要求：在合同执行过程中需要供应商应执行的相关服务标准和应当履行的相关义务。</w:t>
            </w:r>
          </w:p>
          <w:p>
            <w:pPr>
              <w:pStyle w:val="null3"/>
              <w:spacing w:after="120"/>
              <w:ind w:right="120"/>
              <w:jc w:val="both"/>
            </w:pPr>
            <w:r>
              <w:rPr>
                <w:rFonts w:ascii="仿宋_GB2312" w:hAnsi="仿宋_GB2312" w:cs="仿宋_GB2312" w:eastAsia="仿宋_GB2312"/>
                <w:sz w:val="21"/>
              </w:rPr>
              <w:t>1、人员配置：提供不少于2人远程技术服务。</w:t>
            </w:r>
          </w:p>
          <w:p>
            <w:pPr>
              <w:pStyle w:val="null3"/>
              <w:jc w:val="both"/>
            </w:pPr>
            <w:r>
              <w:rPr>
                <w:rFonts w:ascii="仿宋_GB2312" w:hAnsi="仿宋_GB2312" w:cs="仿宋_GB2312" w:eastAsia="仿宋_GB2312"/>
                <w:sz w:val="21"/>
              </w:rPr>
              <w:t>2、运维服务：提供7*24小时的技术支持服务，30分钟内响应，4小时内解决、若4小时解决不了，应当向采购人提供备用方案（包括但不限于软件或设备等），不得影响正常运行。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after="120"/>
              <w:ind w:right="120"/>
              <w:jc w:val="both"/>
            </w:pPr>
            <w:r>
              <w:rPr>
                <w:rFonts w:ascii="仿宋_GB2312" w:hAnsi="仿宋_GB2312" w:cs="仿宋_GB2312" w:eastAsia="仿宋_GB2312"/>
                <w:sz w:val="21"/>
              </w:rPr>
              <w:t>技术要求：</w:t>
            </w:r>
          </w:p>
          <w:p>
            <w:pPr>
              <w:pStyle w:val="null3"/>
              <w:spacing w:after="120"/>
              <w:ind w:right="120"/>
              <w:jc w:val="both"/>
            </w:pPr>
            <w:r>
              <w:rPr>
                <w:rFonts w:ascii="仿宋_GB2312" w:hAnsi="仿宋_GB2312" w:cs="仿宋_GB2312" w:eastAsia="仿宋_GB2312"/>
                <w:sz w:val="21"/>
              </w:rPr>
              <w:t>1、产品选型科学合理、技术先进。</w:t>
            </w:r>
          </w:p>
          <w:p>
            <w:pPr>
              <w:pStyle w:val="null3"/>
              <w:spacing w:after="120"/>
              <w:ind w:right="120"/>
              <w:jc w:val="both"/>
            </w:pPr>
            <w:r>
              <w:rPr>
                <w:rFonts w:ascii="仿宋_GB2312" w:hAnsi="仿宋_GB2312" w:cs="仿宋_GB2312" w:eastAsia="仿宋_GB2312"/>
                <w:sz w:val="21"/>
              </w:rPr>
              <w:t>2、提供健全的项目管理制度。</w:t>
            </w:r>
          </w:p>
          <w:p>
            <w:pPr>
              <w:pStyle w:val="null3"/>
              <w:spacing w:after="120"/>
              <w:ind w:right="120"/>
              <w:jc w:val="both"/>
            </w:pPr>
            <w:r>
              <w:rPr>
                <w:rFonts w:ascii="仿宋_GB2312" w:hAnsi="仿宋_GB2312" w:cs="仿宋_GB2312" w:eastAsia="仿宋_GB2312"/>
                <w:sz w:val="21"/>
              </w:rPr>
              <w:t>3、提供详细、具体、可行的本地化服务方案（包括项目交付后出现故障响应时间等），能保证项目的稳定运行、后期扩容、维护升级等。</w:t>
            </w:r>
          </w:p>
          <w:p>
            <w:pPr>
              <w:pStyle w:val="null3"/>
              <w:spacing w:after="120"/>
              <w:ind w:right="120"/>
              <w:jc w:val="both"/>
            </w:pPr>
            <w:r>
              <w:rPr>
                <w:rFonts w:ascii="仿宋_GB2312" w:hAnsi="仿宋_GB2312" w:cs="仿宋_GB2312" w:eastAsia="仿宋_GB2312"/>
                <w:sz w:val="21"/>
              </w:rPr>
              <w:t>4、提供切实可行合理的系统软件整合、安装调试、启动运行及检测等方面保障措施。</w:t>
            </w:r>
          </w:p>
          <w:p>
            <w:pPr>
              <w:pStyle w:val="null3"/>
              <w:spacing w:after="120"/>
              <w:ind w:right="120"/>
              <w:jc w:val="both"/>
            </w:pPr>
            <w:r>
              <w:rPr>
                <w:rFonts w:ascii="仿宋_GB2312" w:hAnsi="仿宋_GB2312" w:cs="仿宋_GB2312" w:eastAsia="仿宋_GB2312"/>
                <w:sz w:val="21"/>
              </w:rPr>
              <w:t>5、具有专业技术团队，能提供专业化技术指导，提供技术服务人员的相关证明文件。</w:t>
            </w:r>
          </w:p>
          <w:p>
            <w:pPr>
              <w:pStyle w:val="null3"/>
              <w:spacing w:after="120"/>
              <w:ind w:right="120"/>
              <w:jc w:val="both"/>
            </w:pPr>
            <w:r>
              <w:rPr>
                <w:rFonts w:ascii="仿宋_GB2312" w:hAnsi="仿宋_GB2312" w:cs="仿宋_GB2312" w:eastAsia="仿宋_GB2312"/>
                <w:sz w:val="21"/>
              </w:rPr>
              <w:t>6、制定完善、具体、可行的应急预案，具备应急处理能力。</w:t>
            </w:r>
          </w:p>
          <w:p>
            <w:pPr>
              <w:pStyle w:val="null3"/>
              <w:spacing w:after="120"/>
              <w:ind w:right="120"/>
              <w:jc w:val="both"/>
            </w:pPr>
            <w:r>
              <w:rPr>
                <w:rFonts w:ascii="仿宋_GB2312" w:hAnsi="仿宋_GB2312" w:cs="仿宋_GB2312" w:eastAsia="仿宋_GB2312"/>
                <w:sz w:val="21"/>
              </w:rPr>
              <w:t>7、为保证项目的顺利实施、提供详细的、切实可行的协调工作措施。</w:t>
            </w:r>
          </w:p>
          <w:p>
            <w:pPr>
              <w:pStyle w:val="null3"/>
              <w:jc w:val="both"/>
            </w:pPr>
            <w:r>
              <w:rPr>
                <w:rFonts w:ascii="仿宋_GB2312" w:hAnsi="仿宋_GB2312" w:cs="仿宋_GB2312" w:eastAsia="仿宋_GB2312"/>
                <w:sz w:val="21"/>
              </w:rPr>
              <w:t>8、提供详尽的培训方案及培训计划，并列出培训的具体内容及方式，确保使用人员能够独立操作，并进行简单故障排查处理（包括但不限于培训人数、培训时间、培训内容等）。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after="120"/>
              <w:ind w:right="120"/>
              <w:jc w:val="both"/>
            </w:pPr>
            <w:r>
              <w:rPr>
                <w:rFonts w:ascii="仿宋_GB2312" w:hAnsi="仿宋_GB2312" w:cs="仿宋_GB2312" w:eastAsia="仿宋_GB2312"/>
                <w:sz w:val="21"/>
              </w:rPr>
              <w:t>进度及服务期限：</w:t>
            </w:r>
          </w:p>
          <w:p>
            <w:pPr>
              <w:pStyle w:val="null3"/>
              <w:spacing w:after="120"/>
              <w:ind w:right="120"/>
              <w:jc w:val="both"/>
            </w:pPr>
            <w:r>
              <w:rPr>
                <w:rFonts w:ascii="仿宋_GB2312" w:hAnsi="仿宋_GB2312" w:cs="仿宋_GB2312" w:eastAsia="仿宋_GB2312"/>
                <w:sz w:val="21"/>
              </w:rPr>
              <w:t>1、进度期限：自合同签订之日起 3个工作日内 完成所有设备安装及系统调试。</w:t>
            </w:r>
          </w:p>
          <w:p>
            <w:pPr>
              <w:pStyle w:val="null3"/>
              <w:jc w:val="both"/>
            </w:pPr>
            <w:r>
              <w:rPr>
                <w:rFonts w:ascii="仿宋_GB2312" w:hAnsi="仿宋_GB2312" w:cs="仿宋_GB2312" w:eastAsia="仿宋_GB2312"/>
                <w:sz w:val="21"/>
              </w:rPr>
              <w:t>2、服务期限：自合同签订之日起 365日 。</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服务地点：采购人指定地点</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rPr>
              <w:t>租赁内容：</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476"/>
              <w:gridCol w:w="1284"/>
              <w:gridCol w:w="288"/>
              <w:gridCol w:w="260"/>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序号</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名称</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技术要求</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数量</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单位</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实时监管子系统</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实时监管子系统包含车辆数据大屏，视频监控大屏，地图车辆总览，车辆实时位置，车辆轨迹回放，车辆实时状态，车辆指令下发，车辆行程报告。</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智能预警子系统</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智能预警子系统包含车辆预警、驾驶预警（急加速，急减速等）、启停预警。</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3</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环卫作业管理子系统</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环卫作业管理子系统包含作业路线管理，作业任务管理,作业车辆进度管理，作业历史明细，作业考核管理，环卫街道综合得分管理，环卫公司综合得分管理，单车综合得分管理，考核规则管理（夏季/冬季考核规则自动切换），作业车辆请假管理。</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4</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消息子系统</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消息子系统包含任务直通车，工作通知、智能预警消息、通知公告。</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5</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公告管理子系统</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公告管理系统具有发布内部公告和通知功能，同时在发布公告时可以指定接收人，可通过网页端或移动端查看公告及重大事项通知。</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基础数据管理子系统</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基础数据子系统包含部门管理，员工管理，车辆管理。</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7</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OA办公子系统</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OA办公子系统包含出勤管理，车辆管理，车辆调度，车务管理，财务管理，协同效率。</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8</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移动APP</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移动APP具备车辆管理及移动办公功能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9</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环卫车辆实时监管智能终端</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（1）定位参数：北斗+GPS双模定位，定位精度≤10M，灵敏度跟踪≤-160dBm、捕获≤-148dB，外置定位天线；</w:t>
                  </w:r>
                </w:p>
                <w:p>
                  <w:pPr>
                    <w:pStyle w:val="null3"/>
                    <w:spacing w:after="120"/>
                    <w:ind w:right="120"/>
                    <w:jc w:val="both"/>
                  </w:pPr>
                  <w:r>
                    <w:rPr>
                      <w:rFonts w:ascii="仿宋_GB2312" w:hAnsi="仿宋_GB2312" w:cs="仿宋_GB2312" w:eastAsia="仿宋_GB2312"/>
                      <w:sz w:val="21"/>
                    </w:rPr>
                    <w:t>（2）通信参数：支持LTE-TDD：B34/B38/B39/B40/B41和LTE-FDD：B1/B3/B5/B8；</w:t>
                  </w:r>
                </w:p>
                <w:p>
                  <w:pPr>
                    <w:pStyle w:val="null3"/>
                    <w:spacing w:after="120"/>
                    <w:ind w:right="120"/>
                    <w:jc w:val="both"/>
                  </w:pPr>
                  <w:r>
                    <w:rPr>
                      <w:rFonts w:ascii="仿宋_GB2312" w:hAnsi="仿宋_GB2312" w:cs="仿宋_GB2312" w:eastAsia="仿宋_GB2312"/>
                      <w:sz w:val="21"/>
                    </w:rPr>
                    <w:t>（3）视频输入：≥4路视频输入</w:t>
                  </w:r>
                </w:p>
                <w:p>
                  <w:pPr>
                    <w:pStyle w:val="null3"/>
                    <w:spacing w:after="120"/>
                    <w:ind w:right="120"/>
                    <w:jc w:val="both"/>
                  </w:pPr>
                  <w:r>
                    <w:rPr>
                      <w:rFonts w:ascii="仿宋_GB2312" w:hAnsi="仿宋_GB2312" w:cs="仿宋_GB2312" w:eastAsia="仿宋_GB2312"/>
                      <w:sz w:val="21"/>
                    </w:rPr>
                    <w:t>（4）音频参数：≥4路语音输入，≥1路MIC输入，≥1路音频输出；</w:t>
                  </w:r>
                </w:p>
                <w:p>
                  <w:pPr>
                    <w:pStyle w:val="null3"/>
                    <w:jc w:val="both"/>
                  </w:pPr>
                  <w:r>
                    <w:rPr>
                      <w:rFonts w:ascii="仿宋_GB2312" w:hAnsi="仿宋_GB2312" w:cs="仿宋_GB2312" w:eastAsia="仿宋_GB2312"/>
                      <w:sz w:val="21"/>
                    </w:rPr>
                    <w:t>（5）提供产品规格说明书。</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100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10</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车外监控摄像头</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≥1080P，前视视角（无需镜像），≥IP67防水 ，带红外LED灯</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300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驾驶室监控摄像头</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both"/>
                  </w:pPr>
                  <w:r>
                    <w:rPr>
                      <w:rFonts w:ascii="仿宋_GB2312" w:hAnsi="仿宋_GB2312" w:cs="仿宋_GB2312" w:eastAsia="仿宋_GB2312"/>
                      <w:sz w:val="21"/>
                    </w:rPr>
                    <w:t>≥1080P，前视视角（无需镜像），带红外LED灯</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100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right="120"/>
                    <w:jc w:val="center"/>
                  </w:pPr>
                  <w:r>
                    <w:rPr>
                      <w:rFonts w:ascii="仿宋_GB2312" w:hAnsi="仿宋_GB2312" w:cs="仿宋_GB2312" w:eastAsia="仿宋_GB2312"/>
                      <w:sz w:val="21"/>
                    </w:rPr>
                    <w:t>个</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具有专业技术团队，能提供专业化技术指导且远程技术服务不少于2人。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产品选型科学合理，技术先进，技术指标、配置、性能等满足采购需求。技术参数清晰明确，符合使用要求，系统硬件、软件及部署方面的技术指标和性能等满足采购需求。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符合国家（行业）强制性标准要求。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合同签订后，乙方完成设备安装调试、系统上线运行，甲方验收后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具体详见服务合同相应条款。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成交供应商应向代理机构提交三份（一正二副）竞争性磋商响应文件纸质版，纸质版竞争性磋商响应文件应与电子化交易系统上传电子版一致。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4残疾人福利性单位声明函 5监狱企业的证明文件 3中小企业声明函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提供2023年度的财务审计报告，或2024年度的财务审计报告，或开标前三个月内其基本存款账户开户银行出具的资信证明及基本存款账户开户许可证（基本存款账户信息）；</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网站（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10供应商应提交的相关资格证明材料.docx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6报价表 8费用明细表.docx 7标的清单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只能有一个有效报价，不得提交选择性报价，且每轮报价不超过采购预算金额或磋商小组认为低于成本价的报价。</w:t>
            </w:r>
          </w:p>
        </w:tc>
        <w:tc>
          <w:tcPr>
            <w:tcW w:type="dxa" w:w="1661"/>
          </w:tcPr>
          <w:p>
            <w:pPr>
              <w:pStyle w:val="null3"/>
            </w:pPr>
            <w:r>
              <w:rPr>
                <w:rFonts w:ascii="仿宋_GB2312" w:hAnsi="仿宋_GB2312" w:cs="仿宋_GB2312" w:eastAsia="仿宋_GB2312"/>
              </w:rPr>
              <w:t>6报价表 8费用明细表.docx 7标的清单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11服务内容及服务邀请应答表.docx 12商务条款偏离表.docx 9供应商承诺书.docx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与提交的相关资格证明材料一致</w:t>
            </w:r>
          </w:p>
        </w:tc>
        <w:tc>
          <w:tcPr>
            <w:tcW w:type="dxa" w:w="1661"/>
          </w:tcPr>
          <w:p>
            <w:pPr>
              <w:pStyle w:val="null3"/>
            </w:pPr>
            <w:r>
              <w:rPr>
                <w:rFonts w:ascii="仿宋_GB2312" w:hAnsi="仿宋_GB2312" w:cs="仿宋_GB2312" w:eastAsia="仿宋_GB2312"/>
              </w:rPr>
              <w:t>10供应商应提交的相关资格证明材料.docx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1响应文件封面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磋商响应服务期应满足磋商文件要求，供应商需在项目电子化交易系统中按要求填写 《响应函》、《报价表》并进行电子签章。</w:t>
            </w:r>
          </w:p>
        </w:tc>
        <w:tc>
          <w:tcPr>
            <w:tcW w:type="dxa" w:w="1661"/>
          </w:tcPr>
          <w:p>
            <w:pPr>
              <w:pStyle w:val="null3"/>
            </w:pPr>
            <w:r>
              <w:rPr>
                <w:rFonts w:ascii="仿宋_GB2312" w:hAnsi="仿宋_GB2312" w:cs="仿宋_GB2312" w:eastAsia="仿宋_GB2312"/>
              </w:rPr>
              <w:t>2响应函 6报价表 7标的清单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产品选型科学合理，技术先进，技术指标、配置、性能等满足采购需求。技术参数清晰明确，符合使用要求，系统硬件、软件及部署方面的技术指标和性能等满足采购需求。 1.产品选型科学合理，技术先进，相关指标、配置、性能等完全满足或优于采购需求，计(10-15]分； 2.产品选型较为科学，技术较先进，相关指标、配置、性能参数较好满足采购需求，计(5-10]分； 3.产品选型一般，相关指标、配置、性能参数基本满足采购需求，计[1-5]分。 （产品参数以厂家出具的相应功能证明材料为依据，不限于产品说明书、产品彩页、宣传资料、质量证书、产品检测报告、产品合格证、官网和功能截图等各种形式。）</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13磋商方案说明书.docx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提供详细、具体、可行的本地化服务方案（包括项目交付后出现故障响应时间等），能保证项目的稳定运行、后期扩容、维护升级等。 1.服务方案完善，可行性高，计(10-15]分； 2.服务方案较为完善，可行性一般，计(5-10]分； 3.服务方案不完善，可行性较差，计[1-5]分。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13磋商方案说明书.docx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系统软件整合、安装调试、启动运行及检测等方面的保障措施。 1.措施具体、合理、切实可行，计(7-10]分； 2.措施较为合理、可行性一般，计(4-7]分； 3.措施不明确，可行性较差，计[1-4]分。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13磋商方案说明书.docx</w:t>
            </w:r>
          </w:p>
        </w:tc>
      </w:tr>
      <w:tr>
        <w:tc>
          <w:tcPr>
            <w:tcW w:type="dxa" w:w="831"/>
            <w:vMerge/>
          </w:tcPr>
          <w:p/>
        </w:tc>
        <w:tc>
          <w:tcPr>
            <w:tcW w:type="dxa" w:w="1661"/>
          </w:tcPr>
          <w:p>
            <w:pPr>
              <w:pStyle w:val="null3"/>
            </w:pPr>
            <w:r>
              <w:rPr>
                <w:rFonts w:ascii="仿宋_GB2312" w:hAnsi="仿宋_GB2312" w:cs="仿宋_GB2312" w:eastAsia="仿宋_GB2312"/>
              </w:rPr>
              <w:t>服务人员安排</w:t>
            </w:r>
          </w:p>
        </w:tc>
        <w:tc>
          <w:tcPr>
            <w:tcW w:type="dxa" w:w="2492"/>
          </w:tcPr>
          <w:p>
            <w:pPr>
              <w:pStyle w:val="null3"/>
            </w:pPr>
            <w:r>
              <w:rPr>
                <w:rFonts w:ascii="仿宋_GB2312" w:hAnsi="仿宋_GB2312" w:cs="仿宋_GB2312" w:eastAsia="仿宋_GB2312"/>
              </w:rPr>
              <w:t>具有专业技术团队，能提供专业化技术指导。 1.人员配备合理，岗位职责完善，计(7-10]分； 2.人员配备较为合理，岗位职责有体现，计(4-7]分； 3.人员配备不合理，岗位职责无表述，计[1-4]分。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应急预案与措施</w:t>
            </w:r>
          </w:p>
        </w:tc>
        <w:tc>
          <w:tcPr>
            <w:tcW w:type="dxa" w:w="2492"/>
          </w:tcPr>
          <w:p>
            <w:pPr>
              <w:pStyle w:val="null3"/>
            </w:pPr>
            <w:r>
              <w:rPr>
                <w:rFonts w:ascii="仿宋_GB2312" w:hAnsi="仿宋_GB2312" w:cs="仿宋_GB2312" w:eastAsia="仿宋_GB2312"/>
              </w:rPr>
              <w:t>供应商针对本项目服务过程突发和临时事件的预计、应急处理能力。 1.预案措施完善、具体、可行，计(7-10]分； 2.预案措施较为完善、可行性一般，计(4-7]分； 3.预案措施不完善、无可行性，计[1-4]分。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13磋商方案说明书.docx</w:t>
            </w:r>
          </w:p>
        </w:tc>
      </w:tr>
      <w:tr>
        <w:tc>
          <w:tcPr>
            <w:tcW w:type="dxa" w:w="831"/>
            <w:vMerge/>
          </w:tcPr>
          <w:p/>
        </w:tc>
        <w:tc>
          <w:tcPr>
            <w:tcW w:type="dxa" w:w="1661"/>
          </w:tcPr>
          <w:p>
            <w:pPr>
              <w:pStyle w:val="null3"/>
            </w:pPr>
            <w:r>
              <w:rPr>
                <w:rFonts w:ascii="仿宋_GB2312" w:hAnsi="仿宋_GB2312" w:cs="仿宋_GB2312" w:eastAsia="仿宋_GB2312"/>
              </w:rPr>
              <w:t>协调工作与措施</w:t>
            </w:r>
          </w:p>
        </w:tc>
        <w:tc>
          <w:tcPr>
            <w:tcW w:type="dxa" w:w="2492"/>
          </w:tcPr>
          <w:p>
            <w:pPr>
              <w:pStyle w:val="null3"/>
            </w:pPr>
            <w:r>
              <w:rPr>
                <w:rFonts w:ascii="仿宋_GB2312" w:hAnsi="仿宋_GB2312" w:cs="仿宋_GB2312" w:eastAsia="仿宋_GB2312"/>
              </w:rPr>
              <w:t>协调工作与措施合理可行，能够保证项目顺利实施。 1.措施完善、具体、可行，计(3-5]分； 2.措施完整度一般、可行性低，计[1-3]分。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13磋商方案说明书.docx</w:t>
            </w:r>
          </w:p>
        </w:tc>
      </w:tr>
      <w:tr>
        <w:tc>
          <w:tcPr>
            <w:tcW w:type="dxa" w:w="831"/>
            <w:vMerge/>
          </w:tcPr>
          <w:p/>
        </w:tc>
        <w:tc>
          <w:tcPr>
            <w:tcW w:type="dxa" w:w="1661"/>
          </w:tcPr>
          <w:p>
            <w:pPr>
              <w:pStyle w:val="null3"/>
            </w:pPr>
            <w:r>
              <w:rPr>
                <w:rFonts w:ascii="仿宋_GB2312" w:hAnsi="仿宋_GB2312" w:cs="仿宋_GB2312" w:eastAsia="仿宋_GB2312"/>
              </w:rPr>
              <w:t>企业管理制度</w:t>
            </w:r>
          </w:p>
        </w:tc>
        <w:tc>
          <w:tcPr>
            <w:tcW w:type="dxa" w:w="2492"/>
          </w:tcPr>
          <w:p>
            <w:pPr>
              <w:pStyle w:val="null3"/>
            </w:pPr>
            <w:r>
              <w:rPr>
                <w:rFonts w:ascii="仿宋_GB2312" w:hAnsi="仿宋_GB2312" w:cs="仿宋_GB2312" w:eastAsia="仿宋_GB2312"/>
              </w:rPr>
              <w:t>企业管理制度 具有健全的企业管理制度（人员管理制度，财务管理制度，合同管理制度，业务管理制度，技术管理制度等）。 1.企业管理制度完备，计(3-5]分； 2.企业管理制度一般，计[1-3]分。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13磋商方案说明书.docx</w:t>
            </w:r>
          </w:p>
        </w:tc>
      </w:tr>
      <w:tr>
        <w:tc>
          <w:tcPr>
            <w:tcW w:type="dxa" w:w="831"/>
            <w:vMerge/>
          </w:tcPr>
          <w:p/>
        </w:tc>
        <w:tc>
          <w:tcPr>
            <w:tcW w:type="dxa" w:w="1661"/>
          </w:tcPr>
          <w:p>
            <w:pPr>
              <w:pStyle w:val="null3"/>
            </w:pPr>
            <w:r>
              <w:rPr>
                <w:rFonts w:ascii="仿宋_GB2312" w:hAnsi="仿宋_GB2312" w:cs="仿宋_GB2312" w:eastAsia="仿宋_GB2312"/>
              </w:rPr>
              <w:t>相关服务承诺</w:t>
            </w:r>
          </w:p>
        </w:tc>
        <w:tc>
          <w:tcPr>
            <w:tcW w:type="dxa" w:w="2492"/>
          </w:tcPr>
          <w:p>
            <w:pPr>
              <w:pStyle w:val="null3"/>
            </w:pPr>
            <w:r>
              <w:rPr>
                <w:rFonts w:ascii="仿宋_GB2312" w:hAnsi="仿宋_GB2312" w:cs="仿宋_GB2312" w:eastAsia="仿宋_GB2312"/>
              </w:rPr>
              <w:t>1.承诺完整详细、具体、合理且符合实际情况，计[3-5]分； 2.相关服务承诺较为完整、基本符合实际情况，计[1-3)分。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13磋商方案说明书.docx</w:t>
            </w:r>
          </w:p>
        </w:tc>
      </w:tr>
      <w:tr>
        <w:tc>
          <w:tcPr>
            <w:tcW w:type="dxa" w:w="831"/>
            <w:vMerge/>
          </w:tcPr>
          <w:p/>
        </w:tc>
        <w:tc>
          <w:tcPr>
            <w:tcW w:type="dxa" w:w="1661"/>
          </w:tcPr>
          <w:p>
            <w:pPr>
              <w:pStyle w:val="null3"/>
            </w:pPr>
            <w:r>
              <w:rPr>
                <w:rFonts w:ascii="仿宋_GB2312" w:hAnsi="仿宋_GB2312" w:cs="仿宋_GB2312" w:eastAsia="仿宋_GB2312"/>
              </w:rPr>
              <w:t>人员培训方案及计划</w:t>
            </w:r>
          </w:p>
        </w:tc>
        <w:tc>
          <w:tcPr>
            <w:tcW w:type="dxa" w:w="2492"/>
          </w:tcPr>
          <w:p>
            <w:pPr>
              <w:pStyle w:val="null3"/>
            </w:pPr>
            <w:r>
              <w:rPr>
                <w:rFonts w:ascii="仿宋_GB2312" w:hAnsi="仿宋_GB2312" w:cs="仿宋_GB2312" w:eastAsia="仿宋_GB2312"/>
              </w:rPr>
              <w:t>提供详尽的培训方案及培训计划，确保使用人员能够独立操作，并进行简单故障排查处理（包括但不限于培训人数、培训时间、培训内容等）。 1.有具体的培训内容及培训方式，培训时间短，质量高，计(3-5]分； 2.培训内容及培训方式一般，培训效率一般，计[1-3]分。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13磋商方案说明书.docx</w:t>
            </w:r>
          </w:p>
        </w:tc>
      </w:tr>
      <w:tr>
        <w:tc>
          <w:tcPr>
            <w:tcW w:type="dxa" w:w="831"/>
            <w:vMerge/>
          </w:tcPr>
          <w:p/>
        </w:tc>
        <w:tc>
          <w:tcPr>
            <w:tcW w:type="dxa" w:w="1661"/>
          </w:tcPr>
          <w:p>
            <w:pPr>
              <w:pStyle w:val="null3"/>
            </w:pPr>
            <w:r>
              <w:rPr>
                <w:rFonts w:ascii="仿宋_GB2312" w:hAnsi="仿宋_GB2312" w:cs="仿宋_GB2312" w:eastAsia="仿宋_GB2312"/>
              </w:rPr>
              <w:t>企业实力证明</w:t>
            </w:r>
          </w:p>
        </w:tc>
        <w:tc>
          <w:tcPr>
            <w:tcW w:type="dxa" w:w="2492"/>
          </w:tcPr>
          <w:p>
            <w:pPr>
              <w:pStyle w:val="null3"/>
            </w:pPr>
            <w:r>
              <w:rPr>
                <w:rFonts w:ascii="仿宋_GB2312" w:hAnsi="仿宋_GB2312" w:cs="仿宋_GB2312" w:eastAsia="仿宋_GB2312"/>
              </w:rPr>
              <w:t>企业实力证明满足以下要求得5分。 提供信息系统建设和服务能力等级证书cs1级及以上得5分。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13磋商方案说明书.docx</w:t>
            </w:r>
          </w:p>
          <w:p>
            <w:pPr>
              <w:pStyle w:val="null3"/>
            </w:pPr>
            <w:r>
              <w:rPr>
                <w:rFonts w:ascii="仿宋_GB2312" w:hAnsi="仿宋_GB2312" w:cs="仿宋_GB2312" w:eastAsia="仿宋_GB2312"/>
              </w:rPr>
              <w:t>14其它资料.docx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供应商提供2020年01月01日至今类似项目业绩的，每提供一份计1分，满分5分。（以合同或中标通知书为准。）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2.满足磋商文件实质性要求且最终报价最低的供应商的价格为磋商基准价，其价格分为满分10分。 3.磋商报价得分=（磋商基准价/最终磋商报价）×10的公式计算得分。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6报价表</w:t>
            </w:r>
          </w:p>
          <w:p>
            <w:pPr>
              <w:pStyle w:val="null3"/>
            </w:pPr>
            <w:r>
              <w:rPr>
                <w:rFonts w:ascii="仿宋_GB2312" w:hAnsi="仿宋_GB2312" w:cs="仿宋_GB2312" w:eastAsia="仿宋_GB2312"/>
              </w:rPr>
              <w:t>7标的清单</w:t>
            </w:r>
          </w:p>
          <w:p>
            <w:pPr>
              <w:pStyle w:val="null3"/>
            </w:pPr>
            <w:r>
              <w:rPr>
                <w:rFonts w:ascii="仿宋_GB2312" w:hAnsi="仿宋_GB2312" w:cs="仿宋_GB2312" w:eastAsia="仿宋_GB2312"/>
              </w:rPr>
              <w:t>8费用明细表.docx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详见附件：3中小企业声明函</w:t>
      </w:r>
    </w:p>
    <w:p>
      <w:pPr>
        <w:pStyle w:val="null3"/>
        <w:ind w:firstLine="960"/>
      </w:pPr>
      <w:r>
        <w:rPr>
          <w:rFonts w:ascii="仿宋_GB2312" w:hAnsi="仿宋_GB2312" w:cs="仿宋_GB2312" w:eastAsia="仿宋_GB2312"/>
        </w:rPr>
        <w:t>详见附件：4残疾人福利性单位声明函</w:t>
      </w:r>
    </w:p>
    <w:p>
      <w:pPr>
        <w:pStyle w:val="null3"/>
        <w:ind w:firstLine="960"/>
      </w:pPr>
      <w:r>
        <w:rPr>
          <w:rFonts w:ascii="仿宋_GB2312" w:hAnsi="仿宋_GB2312" w:cs="仿宋_GB2312" w:eastAsia="仿宋_GB2312"/>
        </w:rPr>
        <w:t>详见附件：5监狱企业的证明文件</w:t>
      </w:r>
    </w:p>
    <w:p>
      <w:pPr>
        <w:pStyle w:val="null3"/>
        <w:ind w:firstLine="960"/>
      </w:pPr>
      <w:r>
        <w:rPr>
          <w:rFonts w:ascii="仿宋_GB2312" w:hAnsi="仿宋_GB2312" w:cs="仿宋_GB2312" w:eastAsia="仿宋_GB2312"/>
        </w:rPr>
        <w:t>详见附件：6报价表</w:t>
      </w:r>
    </w:p>
    <w:p>
      <w:pPr>
        <w:pStyle w:val="null3"/>
        <w:ind w:firstLine="960"/>
      </w:pPr>
      <w:r>
        <w:rPr>
          <w:rFonts w:ascii="仿宋_GB2312" w:hAnsi="仿宋_GB2312" w:cs="仿宋_GB2312" w:eastAsia="仿宋_GB2312"/>
        </w:rPr>
        <w:t>详见附件：7标的清单</w:t>
      </w:r>
    </w:p>
    <w:p>
      <w:pPr>
        <w:pStyle w:val="null3"/>
        <w:ind w:firstLine="960"/>
      </w:pPr>
      <w:r>
        <w:rPr>
          <w:rFonts w:ascii="仿宋_GB2312" w:hAnsi="仿宋_GB2312" w:cs="仿宋_GB2312" w:eastAsia="仿宋_GB2312"/>
        </w:rPr>
        <w:t>详见附件：8费用明细表.docx</w:t>
      </w:r>
    </w:p>
    <w:p>
      <w:pPr>
        <w:pStyle w:val="null3"/>
        <w:ind w:firstLine="960"/>
      </w:pPr>
      <w:r>
        <w:rPr>
          <w:rFonts w:ascii="仿宋_GB2312" w:hAnsi="仿宋_GB2312" w:cs="仿宋_GB2312" w:eastAsia="仿宋_GB2312"/>
        </w:rPr>
        <w:t>详见附件：9供应商承诺书.docx</w:t>
      </w:r>
    </w:p>
    <w:p>
      <w:pPr>
        <w:pStyle w:val="null3"/>
        <w:ind w:firstLine="960"/>
      </w:pPr>
      <w:r>
        <w:rPr>
          <w:rFonts w:ascii="仿宋_GB2312" w:hAnsi="仿宋_GB2312" w:cs="仿宋_GB2312" w:eastAsia="仿宋_GB2312"/>
        </w:rPr>
        <w:t>详见附件：10供应商应提交的相关资格证明材料.docx</w:t>
      </w:r>
    </w:p>
    <w:p>
      <w:pPr>
        <w:pStyle w:val="null3"/>
        <w:ind w:firstLine="960"/>
      </w:pPr>
      <w:r>
        <w:rPr>
          <w:rFonts w:ascii="仿宋_GB2312" w:hAnsi="仿宋_GB2312" w:cs="仿宋_GB2312" w:eastAsia="仿宋_GB2312"/>
        </w:rPr>
        <w:t>详见附件：11服务内容及服务邀请应答表.docx</w:t>
      </w:r>
    </w:p>
    <w:p>
      <w:pPr>
        <w:pStyle w:val="null3"/>
        <w:ind w:firstLine="960"/>
      </w:pPr>
      <w:r>
        <w:rPr>
          <w:rFonts w:ascii="仿宋_GB2312" w:hAnsi="仿宋_GB2312" w:cs="仿宋_GB2312" w:eastAsia="仿宋_GB2312"/>
        </w:rPr>
        <w:t>详见附件：12商务条款偏离表.docx</w:t>
      </w:r>
    </w:p>
    <w:p>
      <w:pPr>
        <w:pStyle w:val="null3"/>
        <w:ind w:firstLine="960"/>
      </w:pPr>
      <w:r>
        <w:rPr>
          <w:rFonts w:ascii="仿宋_GB2312" w:hAnsi="仿宋_GB2312" w:cs="仿宋_GB2312" w:eastAsia="仿宋_GB2312"/>
        </w:rPr>
        <w:t>详见附件：13磋商方案说明书.docx</w:t>
      </w:r>
    </w:p>
    <w:p>
      <w:pPr>
        <w:pStyle w:val="null3"/>
        <w:ind w:firstLine="960"/>
      </w:pPr>
      <w:r>
        <w:rPr>
          <w:rFonts w:ascii="仿宋_GB2312" w:hAnsi="仿宋_GB2312" w:cs="仿宋_GB2312" w:eastAsia="仿宋_GB2312"/>
        </w:rPr>
        <w:t>详见附件：14其它资料.docx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