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版本号：ZSHZB-2025-20920250516003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机关食堂采购项目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ZSHZB-2025-209</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陕西中盛禾项目咨询有限公司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陕西中盛禾项目咨询有限公司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机关食堂采购项目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ZSHZB-2025-209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机关食堂采购项目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采购包一:包厨服务； 采购包二：采购蔬菜、豆制品、水果、蛋类、米面、杂粮、半成品食物（凉皮、面条、凉粉、鱼鱼 等）类等各类产品； 采购包三：采购肉类、禽类、水产品类、调料类、食用油、副食、乳制品、易耗品、洗涤用品、厨杂及 其他等各类产品。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采购包1（机关食堂采购项目一标段）：属于专门面向中小企业采购。</w:t>
      </w:r>
    </w:p>
    <w:p>
      <w:pPr>
        <w:pStyle w:val="null3"/>
      </w:pPr>
      <w:r>
        <w:rPr>
          <w:rFonts w:ascii="仿宋_GB2312" w:hAnsi="仿宋_GB2312" w:cs="仿宋_GB2312" w:eastAsia="仿宋_GB2312"/>
        </w:rPr>
        <w:t>采购包2（机关食堂采购项目二标段）：属于专门面向中小企业采购。</w:t>
      </w:r>
    </w:p>
    <w:p>
      <w:pPr>
        <w:pStyle w:val="null3"/>
      </w:pPr>
      <w:r>
        <w:rPr>
          <w:rFonts w:ascii="仿宋_GB2312" w:hAnsi="仿宋_GB2312" w:cs="仿宋_GB2312" w:eastAsia="仿宋_GB2312"/>
        </w:rPr>
        <w:t>采购包3（机关食堂采购项目三标段）：属于专门面向中小企业采购。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1、法定代表人身份证明或法定代表人授权委托书：法定代表人直接参加磋商的，须出具法定代表人身份证明及法人身份证；法定代表人授权代表参加磋商的，须出具法定代表人授权委托书和被授权人身份证；</w:t>
      </w:r>
    </w:p>
    <w:p>
      <w:pPr>
        <w:pStyle w:val="null3"/>
      </w:pPr>
      <w:r>
        <w:rPr>
          <w:rFonts w:ascii="仿宋_GB2312" w:hAnsi="仿宋_GB2312" w:cs="仿宋_GB2312" w:eastAsia="仿宋_GB2312"/>
        </w:rPr>
        <w:t>2、企业资质：供应商须提供食品经营许可证；</w:t>
      </w:r>
    </w:p>
    <w:p>
      <w:pPr>
        <w:pStyle w:val="null3"/>
      </w:pPr>
      <w:r>
        <w:rPr>
          <w:rFonts w:ascii="仿宋_GB2312" w:hAnsi="仿宋_GB2312" w:cs="仿宋_GB2312" w:eastAsia="仿宋_GB2312"/>
        </w:rPr>
        <w:t>3、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1、法定代表人身份证明或法定代表人授权委托书：法定代表人直接参加磋商的，须出具法定代表人身份证明及法人身份证；法定代表人授权代表参加磋商的，须出具法定代表人授权委托书和被授权人身份证；</w:t>
      </w:r>
    </w:p>
    <w:p>
      <w:pPr>
        <w:pStyle w:val="null3"/>
      </w:pPr>
      <w:r>
        <w:rPr>
          <w:rFonts w:ascii="仿宋_GB2312" w:hAnsi="仿宋_GB2312" w:cs="仿宋_GB2312" w:eastAsia="仿宋_GB2312"/>
        </w:rPr>
        <w:t>2、企业资质：供应商为生产厂家的须提供食品生产许可证；供应商为代理商的须提供食品经营许可证；供应商须提供所投产品生产企业的《动物防疫条件合格证》（蛋类)；</w:t>
      </w:r>
    </w:p>
    <w:p>
      <w:pPr>
        <w:pStyle w:val="null3"/>
      </w:pPr>
      <w:r>
        <w:rPr>
          <w:rFonts w:ascii="仿宋_GB2312" w:hAnsi="仿宋_GB2312" w:cs="仿宋_GB2312" w:eastAsia="仿宋_GB2312"/>
        </w:rPr>
        <w:t>3、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1、法定代表人身份证明或法定代表人授权委托书：法定代表人直接参加磋商的，须出具法定代表人身份证明及法人身份证；法定代表人授权代表参加磋商的，须出具法定代表人授权委托书和被授权人身份证；</w:t>
      </w:r>
    </w:p>
    <w:p>
      <w:pPr>
        <w:pStyle w:val="null3"/>
      </w:pPr>
      <w:r>
        <w:rPr>
          <w:rFonts w:ascii="仿宋_GB2312" w:hAnsi="仿宋_GB2312" w:cs="仿宋_GB2312" w:eastAsia="仿宋_GB2312"/>
        </w:rPr>
        <w:t>2、企业资质：供应商为生产厂家的须提供食品生产许可证；供应商为代理商的须提供食品经营许可证；供应商须提供所投产品生产企业的《动物防疫条件合格证》（肉类)；</w:t>
      </w:r>
    </w:p>
    <w:p>
      <w:pPr>
        <w:pStyle w:val="null3"/>
      </w:pPr>
      <w:r>
        <w:rPr>
          <w:rFonts w:ascii="仿宋_GB2312" w:hAnsi="仿宋_GB2312" w:cs="仿宋_GB2312" w:eastAsia="仿宋_GB2312"/>
        </w:rPr>
        <w:t>3、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85264768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陕西中盛禾项目咨询有限公司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西安市雁塔区太白南路上上国际2310室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13991144292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采购包2：280,000.00元</w:t>
            </w:r>
          </w:p>
          <w:p>
            <w:pPr>
              <w:pStyle w:val="null3"/>
            </w:pPr>
            <w:r>
              <w:rPr>
                <w:rFonts w:ascii="仿宋_GB2312" w:hAnsi="仿宋_GB2312" w:cs="仿宋_GB2312" w:eastAsia="仿宋_GB2312"/>
              </w:rPr>
              <w:t>采购包3：550,000.00元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参考《国家计委关于印发&lt;招标代理服务收费管理暂行办法&gt;的通知》（计价格【2002】1980号）及《国家发改委关于降低部分建设项目收费标准规范收费行为等有关问题的通知》（发改价格[2011]534号）规定按标准收取。 注：代理服务费不足伍仟元整按伍仟元整收取。 2、成交单位在领取成交通知书前，须向采购代理机构一次性支付采购代理服务费。 3、招标代理服务费缴纳信息：银行户名：陕西中盛禾项目咨询有限公司 开户行名称：交通银行股份有限公司西安大雁塔支行 账 号：611301053013002029330 联 系人：李工 联系电话：029-89380900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陕西中盛禾项目咨询有限公司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陕西中盛禾项目咨询有限公司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陕西中盛禾项目咨询有限公司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符合国家标准、省、市及行业标准以及有关技术规范要求，满足采购人要求。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符合国家标准、省、市及行业标准以及有关技术规范要求，满足采购人要求。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符合国家标准、省、市及行业标准以及有关技术规范要求，满足采购人要求。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联系电话：13991144292</w:t>
      </w:r>
    </w:p>
    <w:p>
      <w:pPr>
        <w:pStyle w:val="null3"/>
      </w:pPr>
      <w:r>
        <w:rPr>
          <w:rFonts w:ascii="仿宋_GB2312" w:hAnsi="仿宋_GB2312" w:cs="仿宋_GB2312" w:eastAsia="仿宋_GB2312"/>
        </w:rPr>
        <w:t>地址：西安市雁塔区太白南路上上国际2310室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采购包一:包厨服务； 采购包二：采购蔬菜、豆制品、水果、蛋类、米面、杂粮、半成品食物（凉皮、面条、凉粉、鱼鱼等）类等各类产品； 采购包三：采购肉类、禽类、水产品类、调料类、食用油、副食、乳制品、易耗品、洗涤用品、厨杂及其他等各类产品。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机关食堂采购项目一标段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机关食堂采购项目二标段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机关食堂采购项目三标段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标的名称：机关食堂采购项目一标段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一、服务内容：</w:t>
            </w:r>
          </w:p>
          <w:p>
            <w:pPr>
              <w:pStyle w:val="null3"/>
              <w:ind w:firstLine="480"/>
              <w:jc w:val="left"/>
            </w:pPr>
            <w:r>
              <w:rPr>
                <w:rFonts w:ascii="仿宋_GB2312" w:hAnsi="仿宋_GB2312" w:cs="仿宋_GB2312" w:eastAsia="仿宋_GB2312"/>
                <w:sz w:val="24"/>
                <w:color w:val="000000"/>
              </w:rPr>
              <w:t>1、供应商负责局内的餐食提供，餐品凸显当地饮食特色。</w:t>
            </w:r>
          </w:p>
          <w:p>
            <w:pPr>
              <w:pStyle w:val="null3"/>
              <w:ind w:firstLine="480"/>
              <w:jc w:val="left"/>
            </w:pPr>
            <w:r>
              <w:rPr>
                <w:rFonts w:ascii="仿宋_GB2312" w:hAnsi="仿宋_GB2312" w:cs="仿宋_GB2312" w:eastAsia="仿宋_GB2312"/>
                <w:sz w:val="24"/>
                <w:color w:val="000000"/>
              </w:rPr>
              <w:t>2、供应商必须保证正常工作日期间膳食供应。双休日及法定节假日如需供餐，供应商必</w:t>
            </w:r>
            <w:r>
              <w:rPr>
                <w:rFonts w:ascii="仿宋_GB2312" w:hAnsi="仿宋_GB2312" w:cs="仿宋_GB2312" w:eastAsia="仿宋_GB2312"/>
                <w:sz w:val="24"/>
                <w:color w:val="000000"/>
              </w:rPr>
              <w:t>须无条件供餐及不另外计算劳务报酬。</w:t>
            </w:r>
          </w:p>
          <w:p>
            <w:pPr>
              <w:pStyle w:val="null3"/>
              <w:ind w:firstLine="480"/>
              <w:jc w:val="left"/>
            </w:pPr>
            <w:r>
              <w:rPr>
                <w:rFonts w:ascii="仿宋_GB2312" w:hAnsi="仿宋_GB2312" w:cs="仿宋_GB2312" w:eastAsia="仿宋_GB2312"/>
                <w:sz w:val="24"/>
                <w:color w:val="000000"/>
              </w:rPr>
              <w:t>3、供应商可根据自己的经营方式提供供餐方案，但菜品及价格需报经采购人审定同意后</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方可执行且不得随意更改。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二、人员配置及要求：</w:t>
            </w:r>
          </w:p>
          <w:p>
            <w:pPr>
              <w:pStyle w:val="null3"/>
              <w:ind w:firstLine="480"/>
              <w:jc w:val="left"/>
            </w:pPr>
            <w:r>
              <w:rPr>
                <w:rFonts w:ascii="仿宋_GB2312" w:hAnsi="仿宋_GB2312" w:cs="仿宋_GB2312" w:eastAsia="仿宋_GB2312"/>
                <w:sz w:val="24"/>
                <w:color w:val="000000"/>
              </w:rPr>
              <w:t>1、供应商应对厨房工作人员足额配置，保证食堂员工不低于</w:t>
            </w:r>
            <w:r>
              <w:rPr>
                <w:rFonts w:ascii="仿宋_GB2312" w:hAnsi="仿宋_GB2312" w:cs="仿宋_GB2312" w:eastAsia="仿宋_GB2312"/>
                <w:sz w:val="24"/>
                <w:color w:val="000000"/>
              </w:rPr>
              <w:t>6</w:t>
            </w:r>
            <w:r>
              <w:rPr>
                <w:rFonts w:ascii="仿宋_GB2312" w:hAnsi="仿宋_GB2312" w:cs="仿宋_GB2312" w:eastAsia="仿宋_GB2312"/>
                <w:sz w:val="24"/>
                <w:color w:val="000000"/>
              </w:rPr>
              <w:t>人（餐厅管理人员、厨师长、</w:t>
            </w:r>
            <w:r>
              <w:rPr>
                <w:rFonts w:ascii="仿宋_GB2312" w:hAnsi="仿宋_GB2312" w:cs="仿宋_GB2312" w:eastAsia="仿宋_GB2312"/>
                <w:sz w:val="24"/>
                <w:color w:val="000000"/>
              </w:rPr>
              <w:t>炒锅厨师、面案厨师、配菜师、洗碗工、服务人员等</w:t>
            </w:r>
            <w:r>
              <w:rPr>
                <w:rFonts w:ascii="仿宋_GB2312" w:hAnsi="仿宋_GB2312" w:cs="仿宋_GB2312" w:eastAsia="仿宋_GB2312"/>
                <w:sz w:val="24"/>
                <w:color w:val="000000"/>
              </w:rPr>
              <w:t>），</w:t>
            </w:r>
            <w:r>
              <w:rPr>
                <w:rFonts w:ascii="仿宋_GB2312" w:hAnsi="仿宋_GB2312" w:cs="仿宋_GB2312" w:eastAsia="仿宋_GB2312"/>
                <w:sz w:val="24"/>
                <w:color w:val="000000"/>
              </w:rPr>
              <w:t>以保证食堂正常运行。</w:t>
            </w:r>
          </w:p>
          <w:p>
            <w:pPr>
              <w:pStyle w:val="null3"/>
              <w:ind w:firstLine="480"/>
              <w:jc w:val="left"/>
            </w:pPr>
            <w:r>
              <w:rPr>
                <w:rFonts w:ascii="仿宋_GB2312" w:hAnsi="仿宋_GB2312" w:cs="仿宋_GB2312" w:eastAsia="仿宋_GB2312"/>
                <w:sz w:val="24"/>
                <w:color w:val="000000"/>
              </w:rPr>
              <w:t>2、供应商所有员工由供应商自行招聘、使用和管理，与采购人没有劳动、劳务关系。供应商应招聘具有较高政治素质和烹饪技术的员工。合同期间，供应商及其工作人员一切安全责 任及损失由供应商自行负责，采购人概不承担。</w:t>
            </w:r>
          </w:p>
          <w:p>
            <w:pPr>
              <w:pStyle w:val="null3"/>
              <w:ind w:firstLine="480"/>
              <w:jc w:val="left"/>
            </w:pPr>
            <w:r>
              <w:rPr>
                <w:rFonts w:ascii="仿宋_GB2312" w:hAnsi="仿宋_GB2312" w:cs="仿宋_GB2312" w:eastAsia="仿宋_GB2312"/>
                <w:sz w:val="24"/>
                <w:color w:val="000000"/>
              </w:rPr>
              <w:t>3、所有员工上岗前必须通过卫生部门指定的医院或防疫站的体检，领取饮食行业健康证。 无健康合格证者，不得在食堂工作。运营期间，所有员工须定期体检，费用由供应商承担。</w:t>
            </w:r>
          </w:p>
          <w:p>
            <w:pPr>
              <w:pStyle w:val="null3"/>
              <w:ind w:firstLine="480"/>
              <w:jc w:val="left"/>
            </w:pPr>
            <w:r>
              <w:rPr>
                <w:rFonts w:ascii="仿宋_GB2312" w:hAnsi="仿宋_GB2312" w:cs="仿宋_GB2312" w:eastAsia="仿宋_GB2312"/>
                <w:sz w:val="24"/>
                <w:color w:val="000000"/>
              </w:rPr>
              <w:t>4、供应商以优质的服务为宗旨，通过提高工作效率，增加菜式品种，提高饭菜质量，物美价廉、薄利多销、保本微利，改善服务态度吸引职工就餐。</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三、设备设施要求：</w:t>
            </w:r>
          </w:p>
          <w:p>
            <w:pPr>
              <w:pStyle w:val="null3"/>
              <w:ind w:firstLine="480"/>
              <w:jc w:val="left"/>
            </w:pPr>
            <w:r>
              <w:rPr>
                <w:rFonts w:ascii="仿宋_GB2312" w:hAnsi="仿宋_GB2312" w:cs="仿宋_GB2312" w:eastAsia="仿宋_GB2312"/>
                <w:sz w:val="24"/>
                <w:color w:val="000000"/>
              </w:rPr>
              <w:t>1、采购人提供现有厨房、餐厅、全套厨房设备。合同签订后，供应商进场前，双方对食堂所有物品进行清点登记造册，在交接清单上确认签字后移交成交供应商使用。合同终止，供应商应按交接清单上核定的物品返还采购人（自然损耗除外）。</w:t>
            </w:r>
          </w:p>
          <w:p>
            <w:pPr>
              <w:pStyle w:val="null3"/>
              <w:ind w:firstLine="480"/>
              <w:jc w:val="left"/>
            </w:pPr>
            <w:r>
              <w:rPr>
                <w:rFonts w:ascii="仿宋_GB2312" w:hAnsi="仿宋_GB2312" w:cs="仿宋_GB2312" w:eastAsia="仿宋_GB2312"/>
                <w:sz w:val="24"/>
                <w:color w:val="000000"/>
              </w:rPr>
              <w:t>2、供应商必须接受采购人对环境与食品安全的监督检查，严格遵守和执行采购人制定的 各项规章制度，做好食堂的饮食卫生和环境卫生，严禁供应腐烂变质食品，如出现食物中毒或 其他安全事故，责任和经济赔偿均由供应商承担。</w:t>
            </w:r>
          </w:p>
          <w:p>
            <w:pPr>
              <w:pStyle w:val="null3"/>
              <w:ind w:firstLine="480"/>
              <w:jc w:val="left"/>
            </w:pPr>
            <w:r>
              <w:rPr>
                <w:rFonts w:ascii="仿宋_GB2312" w:hAnsi="仿宋_GB2312" w:cs="仿宋_GB2312" w:eastAsia="仿宋_GB2312"/>
                <w:sz w:val="24"/>
                <w:color w:val="000000"/>
              </w:rPr>
              <w:t>3、供应商对机关食堂现有的设备设施、炊事工具等应合理使用、妥善保管，承包期满后 如数交回，若损坏或者丢失按价赔偿。</w:t>
            </w:r>
          </w:p>
          <w:p>
            <w:pPr>
              <w:pStyle w:val="null3"/>
              <w:ind w:firstLine="480"/>
              <w:jc w:val="left"/>
            </w:pPr>
            <w:r>
              <w:rPr>
                <w:rFonts w:ascii="仿宋_GB2312" w:hAnsi="仿宋_GB2312" w:cs="仿宋_GB2312" w:eastAsia="仿宋_GB2312"/>
                <w:sz w:val="24"/>
                <w:color w:val="000000"/>
              </w:rPr>
              <w:t>4、供应商要节约水、电、天然气的使用，杜绝长明灯、长流水现象。要做好防火、防盗、消防和安全用电、用气等工作，确保职工就餐和自身的安全。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四、服务要求：</w:t>
            </w:r>
          </w:p>
          <w:p>
            <w:pPr>
              <w:pStyle w:val="null3"/>
              <w:ind w:firstLine="480"/>
              <w:jc w:val="left"/>
            </w:pPr>
            <w:r>
              <w:rPr>
                <w:rFonts w:ascii="仿宋_GB2312" w:hAnsi="仿宋_GB2312" w:cs="仿宋_GB2312" w:eastAsia="仿宋_GB2312"/>
                <w:sz w:val="24"/>
                <w:color w:val="000000"/>
              </w:rPr>
              <w:t>1、按《食品卫生法》及采购人要求做好餐厅的服务，提供安全、卫生、可口、周到的就餐服务。</w:t>
            </w:r>
          </w:p>
          <w:p>
            <w:pPr>
              <w:pStyle w:val="null3"/>
              <w:ind w:firstLine="480"/>
              <w:jc w:val="left"/>
            </w:pPr>
            <w:r>
              <w:rPr>
                <w:rFonts w:ascii="仿宋_GB2312" w:hAnsi="仿宋_GB2312" w:cs="仿宋_GB2312" w:eastAsia="仿宋_GB2312"/>
                <w:sz w:val="24"/>
                <w:color w:val="000000"/>
              </w:rPr>
              <w:t>2、后厨工作人员应牢固树立食品卫生安全意识，拒绝加工过期、霉变及“三无 ”食材，不将闲杂人等带入后厨操作间，带病不上岗，保持个人卫生清洁。</w:t>
            </w:r>
          </w:p>
          <w:p>
            <w:pPr>
              <w:pStyle w:val="null3"/>
              <w:ind w:firstLine="480"/>
              <w:jc w:val="left"/>
            </w:pPr>
            <w:r>
              <w:rPr>
                <w:rFonts w:ascii="仿宋_GB2312" w:hAnsi="仿宋_GB2312" w:cs="仿宋_GB2312" w:eastAsia="仿宋_GB2312"/>
                <w:sz w:val="24"/>
                <w:color w:val="000000"/>
              </w:rPr>
              <w:t>3、工作人员按采购人管理要求进行食材仓储管理，做到生熟分储、蔬菜与肉类分储等，并在各储藏柜标示食材名称、入库时间、储藏时效。</w:t>
            </w:r>
          </w:p>
          <w:p>
            <w:pPr>
              <w:pStyle w:val="null3"/>
              <w:ind w:firstLine="480"/>
              <w:jc w:val="left"/>
            </w:pPr>
            <w:r>
              <w:rPr>
                <w:rFonts w:ascii="仿宋_GB2312" w:hAnsi="仿宋_GB2312" w:cs="仿宋_GB2312" w:eastAsia="仿宋_GB2312"/>
                <w:sz w:val="24"/>
                <w:color w:val="000000"/>
              </w:rPr>
              <w:t>4、食品加工制作过程干净卫生，加工食材清洗彻底，加工时生熟分案。</w:t>
            </w:r>
          </w:p>
          <w:p>
            <w:pPr>
              <w:pStyle w:val="null3"/>
              <w:ind w:firstLine="480"/>
              <w:jc w:val="left"/>
            </w:pPr>
            <w:r>
              <w:rPr>
                <w:rFonts w:ascii="仿宋_GB2312" w:hAnsi="仿宋_GB2312" w:cs="仿宋_GB2312" w:eastAsia="仿宋_GB2312"/>
                <w:sz w:val="24"/>
                <w:color w:val="000000"/>
              </w:rPr>
              <w:t>5、供应商应当严格执行安全法律法规，建立、健全劳动安全各项规章制度，并对员工进 行岗前安全教育和技能等培训，使其符合上岗的要求，具备相应的职业技能和业务素质。</w:t>
            </w:r>
          </w:p>
          <w:p>
            <w:pPr>
              <w:pStyle w:val="null3"/>
              <w:ind w:firstLine="480"/>
              <w:jc w:val="left"/>
            </w:pPr>
            <w:r>
              <w:rPr>
                <w:rFonts w:ascii="仿宋_GB2312" w:hAnsi="仿宋_GB2312" w:cs="仿宋_GB2312" w:eastAsia="仿宋_GB2312"/>
                <w:sz w:val="24"/>
                <w:color w:val="000000"/>
              </w:rPr>
              <w:t>6、负责加工食品的质量与安全卫生，符合《中华人民共和国食品安全法》等法律法规规定，严格按照省市县餐饮行业相关的标准要求执行。</w:t>
            </w:r>
          </w:p>
          <w:p>
            <w:pPr>
              <w:pStyle w:val="null3"/>
              <w:ind w:firstLine="480"/>
              <w:jc w:val="left"/>
            </w:pPr>
            <w:r>
              <w:rPr>
                <w:rFonts w:ascii="仿宋_GB2312" w:hAnsi="仿宋_GB2312" w:cs="仿宋_GB2312" w:eastAsia="仿宋_GB2312"/>
                <w:sz w:val="24"/>
                <w:color w:val="000000"/>
              </w:rPr>
              <w:t>7、按时供餐，如因客观因素不能准时开餐，供应商应提前通知采购人，并留有充分时间做出补救。</w:t>
            </w:r>
          </w:p>
          <w:p>
            <w:pPr>
              <w:pStyle w:val="null3"/>
              <w:ind w:firstLine="480"/>
              <w:jc w:val="left"/>
            </w:pPr>
            <w:r>
              <w:rPr>
                <w:rFonts w:ascii="仿宋_GB2312" w:hAnsi="仿宋_GB2312" w:cs="仿宋_GB2312" w:eastAsia="仿宋_GB2312"/>
                <w:sz w:val="24"/>
                <w:color w:val="000000"/>
              </w:rPr>
              <w:t>8、采购人建立健全餐厅每月考核内容，并监督和检查供应商遵守执行。</w:t>
            </w:r>
          </w:p>
          <w:p>
            <w:pPr>
              <w:pStyle w:val="null3"/>
              <w:ind w:firstLine="480"/>
              <w:jc w:val="left"/>
            </w:pPr>
            <w:r>
              <w:rPr>
                <w:rFonts w:ascii="仿宋_GB2312" w:hAnsi="仿宋_GB2312" w:cs="仿宋_GB2312" w:eastAsia="仿宋_GB2312"/>
                <w:sz w:val="24"/>
                <w:color w:val="000000"/>
              </w:rPr>
              <w:t>9、供应商须严格执行国家和地方环境与食品安全的标准及相关规定，严格遵守和执行采 购人针对职工食堂制定的各项规章制度，须满足工作人员的用餐需求，不得对外营业。</w:t>
            </w:r>
          </w:p>
          <w:p>
            <w:pPr>
              <w:pStyle w:val="null3"/>
              <w:ind w:firstLine="480"/>
              <w:jc w:val="left"/>
            </w:pPr>
            <w:r>
              <w:rPr>
                <w:rFonts w:ascii="仿宋_GB2312" w:hAnsi="仿宋_GB2312" w:cs="仿宋_GB2312" w:eastAsia="仿宋_GB2312"/>
                <w:sz w:val="24"/>
                <w:color w:val="000000"/>
              </w:rPr>
              <w:t>10、供应商须接受采购人的监督检查，服从管理，接受干部职工的监督，树立为干部职工服务的思想，服务热情，礼貌待人。</w:t>
            </w:r>
          </w:p>
          <w:p>
            <w:pPr>
              <w:pStyle w:val="null3"/>
              <w:ind w:firstLine="480"/>
              <w:jc w:val="left"/>
            </w:pPr>
            <w:r>
              <w:rPr>
                <w:rFonts w:ascii="仿宋_GB2312" w:hAnsi="仿宋_GB2312" w:cs="仿宋_GB2312" w:eastAsia="仿宋_GB2312"/>
                <w:sz w:val="24"/>
                <w:color w:val="000000"/>
              </w:rPr>
              <w:t>11、食堂的所有原材料由供应商代理验收确保原材料来源安全。</w:t>
            </w:r>
          </w:p>
          <w:p>
            <w:pPr>
              <w:pStyle w:val="null3"/>
              <w:ind w:firstLine="480"/>
              <w:jc w:val="left"/>
            </w:pPr>
            <w:r>
              <w:rPr>
                <w:rFonts w:ascii="仿宋_GB2312" w:hAnsi="仿宋_GB2312" w:cs="仿宋_GB2312" w:eastAsia="仿宋_GB2312"/>
                <w:sz w:val="24"/>
                <w:color w:val="000000"/>
              </w:rPr>
              <w:t>12、采购人</w:t>
            </w:r>
            <w:r>
              <w:rPr>
                <w:rFonts w:ascii="仿宋_GB2312" w:hAnsi="仿宋_GB2312" w:cs="仿宋_GB2312" w:eastAsia="仿宋_GB2312"/>
                <w:sz w:val="24"/>
                <w:color w:val="000000"/>
              </w:rPr>
              <w:t>提供现有厨房、餐厅、全套厨房设备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并对按期缴纳天然气费、水费、电费。供应商使用</w:t>
            </w:r>
            <w:r>
              <w:rPr>
                <w:rFonts w:ascii="仿宋_GB2312" w:hAnsi="仿宋_GB2312" w:cs="仿宋_GB2312" w:eastAsia="仿宋_GB2312"/>
                <w:sz w:val="24"/>
                <w:color w:val="000000"/>
              </w:rPr>
              <w:t>全套厨房设备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并对全套厨房设备进行日常维护、修理，并采购所需厨具。</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color w:val="000000"/>
              </w:rPr>
              <w:t>五、餐饮标准</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具体以采购人要求为准）</w:t>
            </w:r>
          </w:p>
          <w:p>
            <w:pPr>
              <w:pStyle w:val="null3"/>
              <w:ind w:firstLine="480"/>
              <w:jc w:val="left"/>
            </w:pPr>
            <w:r>
              <w:rPr>
                <w:rFonts w:ascii="仿宋_GB2312" w:hAnsi="仿宋_GB2312" w:cs="仿宋_GB2312" w:eastAsia="仿宋_GB2312"/>
                <w:sz w:val="24"/>
                <w:color w:val="000000"/>
              </w:rPr>
              <w:t>餐饮服务包括职工工作日用餐（早、中两顿餐），餐饮菜品配置如下：</w:t>
            </w:r>
          </w:p>
          <w:p>
            <w:pPr>
              <w:pStyle w:val="null3"/>
              <w:ind w:firstLine="480"/>
              <w:jc w:val="left"/>
            </w:pPr>
            <w:r>
              <w:rPr>
                <w:rFonts w:ascii="仿宋_GB2312" w:hAnsi="仿宋_GB2312" w:cs="仿宋_GB2312" w:eastAsia="仿宋_GB2312"/>
                <w:sz w:val="24"/>
                <w:color w:val="000000"/>
              </w:rPr>
              <w:t>1、早餐：4 种小菜(1 荤+3 素) +1 咸菜+2 种主食+1 种杂粮+1 种汤粥+鸡蛋。</w:t>
            </w:r>
          </w:p>
          <w:p>
            <w:pPr>
              <w:pStyle w:val="null3"/>
              <w:ind w:firstLine="480"/>
              <w:jc w:val="left"/>
            </w:pPr>
            <w:r>
              <w:rPr>
                <w:rFonts w:ascii="仿宋_GB2312" w:hAnsi="仿宋_GB2312" w:cs="仿宋_GB2312" w:eastAsia="仿宋_GB2312"/>
                <w:sz w:val="24"/>
                <w:color w:val="000000"/>
              </w:rPr>
              <w:t>2、午餐：</w:t>
            </w:r>
            <w:r>
              <w:rPr>
                <w:rFonts w:ascii="仿宋_GB2312" w:hAnsi="仿宋_GB2312" w:cs="仿宋_GB2312" w:eastAsia="仿宋_GB2312"/>
                <w:sz w:val="24"/>
                <w:color w:val="000000"/>
              </w:rPr>
              <w:t>2</w:t>
            </w:r>
            <w:r>
              <w:rPr>
                <w:rFonts w:ascii="仿宋_GB2312" w:hAnsi="仿宋_GB2312" w:cs="仿宋_GB2312" w:eastAsia="仿宋_GB2312"/>
                <w:sz w:val="24"/>
                <w:color w:val="000000"/>
              </w:rPr>
              <w:t>种荤菜</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种素菜</w:t>
            </w:r>
            <w:r>
              <w:rPr>
                <w:rFonts w:ascii="仿宋_GB2312" w:hAnsi="仿宋_GB2312" w:cs="仿宋_GB2312" w:eastAsia="仿宋_GB2312"/>
                <w:sz w:val="24"/>
                <w:color w:val="000000"/>
              </w:rPr>
              <w:t>+1种主食+1种汤粥</w:t>
            </w:r>
            <w:r>
              <w:rPr>
                <w:rFonts w:ascii="仿宋_GB2312" w:hAnsi="仿宋_GB2312" w:cs="仿宋_GB2312" w:eastAsia="仿宋_GB2312"/>
                <w:sz w:val="24"/>
                <w:color w:val="000000"/>
              </w:rPr>
              <w:t>；</w:t>
            </w:r>
            <w:r>
              <w:rPr>
                <w:rFonts w:ascii="仿宋_GB2312" w:hAnsi="仿宋_GB2312" w:cs="仿宋_GB2312" w:eastAsia="仿宋_GB2312"/>
                <w:sz w:val="24"/>
                <w:color w:val="000000"/>
              </w:rPr>
              <w:t>1种面食+1种水果+乳制品。</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75"/>
              <w:ind w:left="345"/>
              <w:jc w:val="left"/>
            </w:pPr>
            <w:r>
              <w:rPr>
                <w:rFonts w:ascii="仿宋_GB2312" w:hAnsi="仿宋_GB2312" w:cs="仿宋_GB2312" w:eastAsia="仿宋_GB2312"/>
                <w:sz w:val="24"/>
                <w:b/>
                <w:color w:val="000000"/>
              </w:rPr>
              <w:t>附件：餐饮服务考核表</w:t>
            </w:r>
          </w:p>
          <w:tbl>
            <w:tblPr>
              <w:tblBorders>
                <w:top w:val="none" w:color="000000" w:sz="4"/>
                <w:left w:val="none" w:color="000000" w:sz="4"/>
                <w:bottom w:val="none" w:color="000000" w:sz="4"/>
                <w:right w:val="none" w:color="000000" w:sz="4"/>
                <w:insideH w:val="none"/>
                <w:insideV w:val="none"/>
              </w:tblBorders>
            </w:tblPr>
            <w:tblGrid>
              <w:gridCol w:w="177"/>
              <w:gridCol w:w="166"/>
              <w:gridCol w:w="166"/>
              <w:gridCol w:w="1610"/>
              <w:gridCol w:w="214"/>
              <w:gridCol w:w="210"/>
            </w:tblGrid>
            <w:tr>
              <w:tc>
                <w:tcPr>
                  <w:tcW w:type="dxa" w:w="177"/>
                  <w:tcBorders>
                    <w:top w:val="single" w:color="000000" w:sz="4"/>
                    <w:left w:val="single" w:color="000000" w:sz="4"/>
                    <w:bottom w:val="single" w:color="000000" w:sz="4"/>
                    <w:right w:val="single" w:color="000000" w:sz="4"/>
                  </w:tcBorders>
                  <w:shd w:fill="E6E6E6"/>
                  <w:tcMar>
                    <w:top w:type="dxa" w:w="0"/>
                    <w:left w:type="dxa" w:w="0"/>
                    <w:bottom w:type="dxa" w:w="0"/>
                    <w:right w:type="dxa" w:w="0"/>
                  </w:tcMar>
                  <w:vAlign w:val="top"/>
                </w:tcPr>
                <w:p>
                  <w:pPr>
                    <w:pStyle w:val="null3"/>
                    <w:spacing w:before="90"/>
                    <w:ind w:left="135"/>
                  </w:pPr>
                  <w:r>
                    <w:rPr>
                      <w:rFonts w:ascii="仿宋_GB2312" w:hAnsi="仿宋_GB2312" w:cs="仿宋_GB2312" w:eastAsia="仿宋_GB2312"/>
                      <w:sz w:val="24"/>
                      <w:b/>
                      <w:color w:val="000000"/>
                    </w:rPr>
                    <w:t>序号</w:t>
                  </w:r>
                </w:p>
              </w:tc>
              <w:tc>
                <w:tcPr>
                  <w:tcW w:type="dxa" w:w="332"/>
                  <w:gridSpan w:val="2"/>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spacing w:before="90"/>
                    <w:ind w:left="450"/>
                  </w:pPr>
                  <w:r>
                    <w:rPr>
                      <w:rFonts w:ascii="仿宋_GB2312" w:hAnsi="仿宋_GB2312" w:cs="仿宋_GB2312" w:eastAsia="仿宋_GB2312"/>
                      <w:sz w:val="24"/>
                      <w:b/>
                      <w:color w:val="000000"/>
                    </w:rPr>
                    <w:t>项目</w:t>
                  </w:r>
                </w:p>
              </w:tc>
              <w:tc>
                <w:tcPr>
                  <w:tcW w:type="dxa" w:w="1610"/>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spacing w:before="90"/>
                    <w:ind w:left="2805"/>
                  </w:pPr>
                  <w:r>
                    <w:rPr>
                      <w:rFonts w:ascii="仿宋_GB2312" w:hAnsi="仿宋_GB2312" w:cs="仿宋_GB2312" w:eastAsia="仿宋_GB2312"/>
                      <w:sz w:val="24"/>
                      <w:b/>
                      <w:color w:val="000000"/>
                    </w:rPr>
                    <w:t>考核内容</w:t>
                  </w:r>
                </w:p>
              </w:tc>
              <w:tc>
                <w:tcPr>
                  <w:tcW w:type="dxa" w:w="214"/>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spacing w:before="90"/>
                    <w:ind w:left="210"/>
                  </w:pPr>
                  <w:r>
                    <w:rPr>
                      <w:rFonts w:ascii="仿宋_GB2312" w:hAnsi="仿宋_GB2312" w:cs="仿宋_GB2312" w:eastAsia="仿宋_GB2312"/>
                      <w:sz w:val="24"/>
                      <w:b/>
                      <w:color w:val="000000"/>
                    </w:rPr>
                    <w:t>分值</w:t>
                  </w:r>
                </w:p>
              </w:tc>
              <w:tc>
                <w:tcPr>
                  <w:tcW w:type="dxa" w:w="210"/>
                  <w:tcBorders>
                    <w:top w:val="single" w:color="000000" w:sz="4"/>
                    <w:left w:val="none" w:color="000000" w:sz="4"/>
                    <w:bottom w:val="single" w:color="000000" w:sz="4"/>
                    <w:right w:val="single" w:color="000000" w:sz="4"/>
                  </w:tcBorders>
                  <w:shd w:fill="E6E6E6"/>
                  <w:tcMar>
                    <w:top w:type="dxa" w:w="0"/>
                    <w:left w:type="dxa" w:w="0"/>
                    <w:bottom w:type="dxa" w:w="0"/>
                    <w:right w:type="dxa" w:w="0"/>
                  </w:tcMar>
                  <w:vAlign w:val="top"/>
                </w:tcPr>
                <w:p>
                  <w:pPr>
                    <w:pStyle w:val="null3"/>
                    <w:spacing w:before="90"/>
                    <w:ind w:left="195"/>
                  </w:pPr>
                  <w:r>
                    <w:rPr>
                      <w:rFonts w:ascii="仿宋_GB2312" w:hAnsi="仿宋_GB2312" w:cs="仿宋_GB2312" w:eastAsia="仿宋_GB2312"/>
                      <w:sz w:val="24"/>
                      <w:b/>
                      <w:color w:val="000000"/>
                    </w:rPr>
                    <w:t>得分</w:t>
                  </w:r>
                </w:p>
              </w:tc>
            </w:tr>
            <w:tr>
              <w:tc>
                <w:tcPr>
                  <w:tcW w:type="dxa" w:w="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b/>
                      <w:color w:val="000000"/>
                    </w:rPr>
                    <w:t>1</w:t>
                  </w:r>
                </w:p>
              </w:tc>
              <w:tc>
                <w:tcPr>
                  <w:tcW w:type="dxa" w:w="332"/>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570" w:right="120"/>
                  </w:pPr>
                  <w:r>
                    <w:rPr>
                      <w:rFonts w:ascii="仿宋_GB2312" w:hAnsi="仿宋_GB2312" w:cs="仿宋_GB2312" w:eastAsia="仿宋_GB2312"/>
                      <w:sz w:val="24"/>
                      <w:b/>
                      <w:color w:val="000000"/>
                    </w:rPr>
                    <w:t>制度措施情</w:t>
                  </w:r>
                  <w:r>
                    <w:rPr>
                      <w:rFonts w:ascii="仿宋_GB2312" w:hAnsi="仿宋_GB2312" w:cs="仿宋_GB2312" w:eastAsia="仿宋_GB2312"/>
                    </w:rPr>
                    <w:t xml:space="preserve"> </w:t>
                  </w:r>
                  <w:r>
                    <w:rPr>
                      <w:rFonts w:ascii="仿宋_GB2312" w:hAnsi="仿宋_GB2312" w:cs="仿宋_GB2312" w:eastAsia="仿宋_GB2312"/>
                      <w:sz w:val="24"/>
                      <w:b/>
                      <w:color w:val="000000"/>
                    </w:rPr>
                    <w:t>况</w:t>
                  </w:r>
                </w:p>
                <w:p>
                  <w:pPr>
                    <w:pStyle w:val="null3"/>
                    <w:spacing w:before="15"/>
                    <w:ind w:left="135"/>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10</w:t>
                  </w:r>
                  <w:r>
                    <w:rPr>
                      <w:rFonts w:ascii="仿宋_GB2312" w:hAnsi="仿宋_GB2312" w:cs="仿宋_GB2312" w:eastAsia="仿宋_GB2312"/>
                    </w:rPr>
                    <w:t xml:space="preserve"> </w:t>
                  </w:r>
                  <w:r>
                    <w:rPr>
                      <w:rFonts w:ascii="仿宋_GB2312" w:hAnsi="仿宋_GB2312" w:cs="仿宋_GB2312" w:eastAsia="仿宋_GB2312"/>
                      <w:sz w:val="24"/>
                      <w:b/>
                      <w:color w:val="000000"/>
                    </w:rPr>
                    <w:t>分）</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制度措施完善，修订、修改制度及时，制度措施落实到位。</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b/>
                      <w:color w:val="000000"/>
                    </w:rPr>
                    <w:t>2</w:t>
                  </w:r>
                </w:p>
              </w:tc>
              <w:tc>
                <w:tcPr>
                  <w:tcW w:type="dxa" w:w="332"/>
                  <w:gridSpan w:val="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b/>
                      <w:color w:val="000000"/>
                    </w:rPr>
                    <w:t>食品卫生安</w:t>
                  </w:r>
                  <w:r>
                    <w:rPr>
                      <w:rFonts w:ascii="仿宋_GB2312" w:hAnsi="仿宋_GB2312" w:cs="仿宋_GB2312" w:eastAsia="仿宋_GB2312"/>
                    </w:rPr>
                    <w:t xml:space="preserve"> </w:t>
                  </w:r>
                  <w:r>
                    <w:rPr>
                      <w:rFonts w:ascii="仿宋_GB2312" w:hAnsi="仿宋_GB2312" w:cs="仿宋_GB2312" w:eastAsia="仿宋_GB2312"/>
                      <w:sz w:val="24"/>
                      <w:b/>
                      <w:color w:val="000000"/>
                    </w:rPr>
                    <w:t>全情况</w:t>
                  </w:r>
                </w:p>
                <w:p>
                  <w:pPr>
                    <w:pStyle w:val="null3"/>
                    <w:spacing w:before="15"/>
                    <w:ind w:left="135"/>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40</w:t>
                  </w:r>
                  <w:r>
                    <w:rPr>
                      <w:rFonts w:ascii="仿宋_GB2312" w:hAnsi="仿宋_GB2312" w:cs="仿宋_GB2312" w:eastAsia="仿宋_GB2312"/>
                    </w:rPr>
                    <w:t xml:space="preserve"> </w:t>
                  </w:r>
                  <w:r>
                    <w:rPr>
                      <w:rFonts w:ascii="仿宋_GB2312" w:hAnsi="仿宋_GB2312" w:cs="仿宋_GB2312" w:eastAsia="仿宋_GB2312"/>
                      <w:sz w:val="24"/>
                      <w:b/>
                      <w:color w:val="000000"/>
                    </w:rPr>
                    <w:t>分）</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firstLine="2"/>
                  </w:pPr>
                  <w:r>
                    <w:rPr>
                      <w:rFonts w:ascii="仿宋_GB2312" w:hAnsi="仿宋_GB2312" w:cs="仿宋_GB2312" w:eastAsia="仿宋_GB2312"/>
                      <w:sz w:val="24"/>
                      <w:color w:val="000000"/>
                    </w:rPr>
                    <w:t>禁止购买熟食，违反《食品安全法》，造成伤</w:t>
                  </w:r>
                  <w:r>
                    <w:rPr>
                      <w:rFonts w:ascii="仿宋_GB2312" w:hAnsi="仿宋_GB2312" w:cs="仿宋_GB2312" w:eastAsia="仿宋_GB2312"/>
                      <w:sz w:val="24"/>
                      <w:color w:val="000000"/>
                    </w:rPr>
                    <w:t>害和食物中毒</w:t>
                  </w:r>
                  <w:r>
                    <w:rPr>
                      <w:rFonts w:ascii="仿宋_GB2312" w:hAnsi="仿宋_GB2312" w:cs="仿宋_GB2312" w:eastAsia="仿宋_GB2312"/>
                    </w:rPr>
                    <w:t xml:space="preserve"> </w:t>
                  </w:r>
                  <w:r>
                    <w:rPr>
                      <w:rFonts w:ascii="仿宋_GB2312" w:hAnsi="仿宋_GB2312" w:cs="仿宋_GB2312" w:eastAsia="仿宋_GB2312"/>
                      <w:sz w:val="24"/>
                      <w:color w:val="000000"/>
                    </w:rPr>
                    <w:t>的，</w:t>
                  </w:r>
                  <w:r>
                    <w:rPr>
                      <w:rFonts w:ascii="仿宋_GB2312" w:hAnsi="仿宋_GB2312" w:cs="仿宋_GB2312" w:eastAsia="仿宋_GB2312"/>
                    </w:rPr>
                    <w:t xml:space="preserve"> </w:t>
                  </w:r>
                  <w:r>
                    <w:rPr>
                      <w:rFonts w:ascii="仿宋_GB2312" w:hAnsi="仿宋_GB2312" w:cs="仿宋_GB2312" w:eastAsia="仿宋_GB2312"/>
                      <w:sz w:val="24"/>
                      <w:color w:val="000000"/>
                    </w:rPr>
                    <w:t>由中标人负责全部医疗费用，并承担由此造成的民事、</w:t>
                  </w:r>
                  <w:r>
                    <w:rPr>
                      <w:rFonts w:ascii="仿宋_GB2312" w:hAnsi="仿宋_GB2312" w:cs="仿宋_GB2312" w:eastAsia="仿宋_GB2312"/>
                    </w:rPr>
                    <w:t xml:space="preserve"> </w:t>
                  </w:r>
                  <w:r>
                    <w:rPr>
                      <w:rFonts w:ascii="仿宋_GB2312" w:hAnsi="仿宋_GB2312" w:cs="仿宋_GB2312" w:eastAsia="仿宋_GB2312"/>
                      <w:sz w:val="24"/>
                      <w:color w:val="000000"/>
                    </w:rPr>
                    <w:t>刑事责任及经济赔偿责任。</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食材新鲜，不得使用腐烂、变质、过保质期食材。食品加工</w:t>
                  </w:r>
                  <w:r>
                    <w:rPr>
                      <w:rFonts w:ascii="仿宋_GB2312" w:hAnsi="仿宋_GB2312" w:cs="仿宋_GB2312" w:eastAsia="仿宋_GB2312"/>
                    </w:rPr>
                    <w:t xml:space="preserve"> </w:t>
                  </w:r>
                  <w:r>
                    <w:rPr>
                      <w:rFonts w:ascii="仿宋_GB2312" w:hAnsi="仿宋_GB2312" w:cs="仿宋_GB2312" w:eastAsia="仿宋_GB2312"/>
                      <w:sz w:val="24"/>
                      <w:color w:val="000000"/>
                    </w:rPr>
                    <w:t>环节、制作环节、售饭环节卫生、规范、安全，禁止使用违</w:t>
                  </w:r>
                  <w:r>
                    <w:rPr>
                      <w:rFonts w:ascii="仿宋_GB2312" w:hAnsi="仿宋_GB2312" w:cs="仿宋_GB2312" w:eastAsia="仿宋_GB2312"/>
                    </w:rPr>
                    <w:t xml:space="preserve"> </w:t>
                  </w:r>
                  <w:r>
                    <w:rPr>
                      <w:rFonts w:ascii="仿宋_GB2312" w:hAnsi="仿宋_GB2312" w:cs="仿宋_GB2312" w:eastAsia="仿宋_GB2312"/>
                      <w:sz w:val="24"/>
                      <w:color w:val="000000"/>
                    </w:rPr>
                    <w:t>禁食品添加剂。</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餐具要提前洗净和消毒</w:t>
                  </w:r>
                  <w:r>
                    <w:rPr>
                      <w:rFonts w:ascii="仿宋_GB2312" w:hAnsi="仿宋_GB2312" w:cs="仿宋_GB2312" w:eastAsia="仿宋_GB2312"/>
                      <w:sz w:val="24"/>
                      <w:color w:val="000000"/>
                    </w:rPr>
                    <w:t>,必须符合食品卫生安全要求。有热</w:t>
                  </w:r>
                  <w:r>
                    <w:rPr>
                      <w:rFonts w:ascii="仿宋_GB2312" w:hAnsi="仿宋_GB2312" w:cs="仿宋_GB2312" w:eastAsia="仿宋_GB2312"/>
                    </w:rPr>
                    <w:t xml:space="preserve"> </w:t>
                  </w:r>
                  <w:r>
                    <w:rPr>
                      <w:rFonts w:ascii="仿宋_GB2312" w:hAnsi="仿宋_GB2312" w:cs="仿宋_GB2312" w:eastAsia="仿宋_GB2312"/>
                      <w:sz w:val="24"/>
                      <w:color w:val="000000"/>
                    </w:rPr>
                    <w:t>度、无水珠，无异味、霉斑。餐具消毒记录完整、规范。</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40"/>
                  </w:pP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后厨荤类池和疏菜池要分开清洗，不允许洗其他物品。水池</w:t>
                  </w:r>
                  <w:r>
                    <w:rPr>
                      <w:rFonts w:ascii="仿宋_GB2312" w:hAnsi="仿宋_GB2312" w:cs="仿宋_GB2312" w:eastAsia="仿宋_GB2312"/>
                    </w:rPr>
                    <w:t xml:space="preserve"> </w:t>
                  </w:r>
                  <w:r>
                    <w:rPr>
                      <w:rFonts w:ascii="仿宋_GB2312" w:hAnsi="仿宋_GB2312" w:cs="仿宋_GB2312" w:eastAsia="仿宋_GB2312"/>
                      <w:sz w:val="24"/>
                      <w:color w:val="000000"/>
                    </w:rPr>
                    <w:t>保持干净卫生。</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40"/>
                  </w:pP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下班后食品加盖保存、检查安全事项、填写检查记</w:t>
                  </w:r>
                  <w:r>
                    <w:rPr>
                      <w:rFonts w:ascii="仿宋_GB2312" w:hAnsi="仿宋_GB2312" w:cs="仿宋_GB2312" w:eastAsia="仿宋_GB2312"/>
                      <w:sz w:val="24"/>
                      <w:color w:val="000000"/>
                    </w:rPr>
                    <w:t>录、物品</w:t>
                  </w:r>
                  <w:r>
                    <w:rPr>
                      <w:rFonts w:ascii="仿宋_GB2312" w:hAnsi="仿宋_GB2312" w:cs="仿宋_GB2312" w:eastAsia="仿宋_GB2312"/>
                    </w:rPr>
                    <w:t xml:space="preserve"> </w:t>
                  </w:r>
                  <w:r>
                    <w:rPr>
                      <w:rFonts w:ascii="仿宋_GB2312" w:hAnsi="仿宋_GB2312" w:cs="仿宋_GB2312" w:eastAsia="仿宋_GB2312"/>
                      <w:sz w:val="24"/>
                      <w:color w:val="000000"/>
                    </w:rPr>
                    <w:t>摆放整齐。生熟分开、生熟食品盛装器皿分开、生熟冰箱分</w:t>
                  </w:r>
                  <w:r>
                    <w:rPr>
                      <w:rFonts w:ascii="仿宋_GB2312" w:hAnsi="仿宋_GB2312" w:cs="仿宋_GB2312" w:eastAsia="仿宋_GB2312"/>
                    </w:rPr>
                    <w:t xml:space="preserve"> </w:t>
                  </w:r>
                  <w:r>
                    <w:rPr>
                      <w:rFonts w:ascii="仿宋_GB2312" w:hAnsi="仿宋_GB2312" w:cs="仿宋_GB2312" w:eastAsia="仿宋_GB2312"/>
                      <w:sz w:val="24"/>
                      <w:color w:val="000000"/>
                    </w:rPr>
                    <w:t>开、食品不得混放。</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员工个人服装干净整齐、要勤剪指甲、男员工头发要勤剪、</w:t>
                  </w:r>
                  <w:r>
                    <w:rPr>
                      <w:rFonts w:ascii="仿宋_GB2312" w:hAnsi="仿宋_GB2312" w:cs="仿宋_GB2312" w:eastAsia="仿宋_GB2312"/>
                    </w:rPr>
                    <w:t xml:space="preserve"> </w:t>
                  </w:r>
                  <w:r>
                    <w:rPr>
                      <w:rFonts w:ascii="仿宋_GB2312" w:hAnsi="仿宋_GB2312" w:cs="仿宋_GB2312" w:eastAsia="仿宋_GB2312"/>
                      <w:sz w:val="24"/>
                      <w:color w:val="000000"/>
                    </w:rPr>
                    <w:t>女员上班时不许配戴戒指、项链。</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40"/>
                  </w:pP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饭菜不允许出现夹生、焦味、异味，不允许发现异物</w:t>
                  </w:r>
                  <w:r>
                    <w:rPr>
                      <w:rFonts w:ascii="仿宋_GB2312" w:hAnsi="仿宋_GB2312" w:cs="仿宋_GB2312" w:eastAsia="仿宋_GB2312"/>
                      <w:sz w:val="24"/>
                      <w:color w:val="000000"/>
                    </w:rPr>
                    <w:t>如沙子、</w:t>
                  </w:r>
                  <w:r>
                    <w:rPr>
                      <w:rFonts w:ascii="仿宋_GB2312" w:hAnsi="仿宋_GB2312" w:cs="仿宋_GB2312" w:eastAsia="仿宋_GB2312"/>
                    </w:rPr>
                    <w:t xml:space="preserve"> </w:t>
                  </w:r>
                  <w:r>
                    <w:rPr>
                      <w:rFonts w:ascii="仿宋_GB2312" w:hAnsi="仿宋_GB2312" w:cs="仿宋_GB2312" w:eastAsia="仿宋_GB2312"/>
                      <w:sz w:val="24"/>
                      <w:color w:val="000000"/>
                    </w:rPr>
                    <w:t>虫、烟头、草绳、碎玻璃等。</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40"/>
                  </w:pP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饭菜按规范留样</w:t>
                  </w:r>
                  <w:r>
                    <w:rPr>
                      <w:rFonts w:ascii="仿宋_GB2312" w:hAnsi="仿宋_GB2312" w:cs="仿宋_GB2312" w:eastAsia="仿宋_GB2312"/>
                      <w:sz w:val="24"/>
                      <w:color w:val="000000"/>
                    </w:rPr>
                    <w:t>(每个品种</w:t>
                  </w:r>
                  <w:r>
                    <w:rPr>
                      <w:rFonts w:ascii="仿宋_GB2312" w:hAnsi="仿宋_GB2312" w:cs="仿宋_GB2312" w:eastAsia="仿宋_GB2312"/>
                    </w:rPr>
                    <w:t xml:space="preserve"> </w:t>
                  </w:r>
                  <w:r>
                    <w:rPr>
                      <w:rFonts w:ascii="仿宋_GB2312" w:hAnsi="仿宋_GB2312" w:cs="仿宋_GB2312" w:eastAsia="仿宋_GB2312"/>
                      <w:sz w:val="24"/>
                      <w:color w:val="000000"/>
                    </w:rPr>
                    <w:t>100</w:t>
                  </w:r>
                  <w:r>
                    <w:rPr>
                      <w:rFonts w:ascii="仿宋_GB2312" w:hAnsi="仿宋_GB2312" w:cs="仿宋_GB2312" w:eastAsia="仿宋_GB2312"/>
                    </w:rPr>
                    <w:t xml:space="preserve"> </w:t>
                  </w:r>
                  <w:r>
                    <w:rPr>
                      <w:rFonts w:ascii="仿宋_GB2312" w:hAnsi="仿宋_GB2312" w:cs="仿宋_GB2312" w:eastAsia="仿宋_GB2312"/>
                      <w:sz w:val="24"/>
                      <w:color w:val="000000"/>
                    </w:rPr>
                    <w:t>克</w:t>
                  </w:r>
                  <w:r>
                    <w:rPr>
                      <w:rFonts w:ascii="仿宋_GB2312" w:hAnsi="仿宋_GB2312" w:cs="仿宋_GB2312" w:eastAsia="仿宋_GB2312"/>
                      <w:sz w:val="24"/>
                      <w:color w:val="000000"/>
                    </w:rPr>
                    <w:t>),留样记录完整。</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240"/>
                  </w:pP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b/>
                      <w:color w:val="000000"/>
                    </w:rPr>
                    <w:t>3</w:t>
                  </w:r>
                </w:p>
              </w:tc>
              <w:tc>
                <w:tcPr>
                  <w:tcW w:type="dxa" w:w="332"/>
                  <w:gridSpan w:val="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330" w:right="120"/>
                  </w:pPr>
                  <w:r>
                    <w:rPr>
                      <w:rFonts w:ascii="仿宋_GB2312" w:hAnsi="仿宋_GB2312" w:cs="仿宋_GB2312" w:eastAsia="仿宋_GB2312"/>
                      <w:sz w:val="24"/>
                      <w:b/>
                      <w:color w:val="000000"/>
                    </w:rPr>
                    <w:t>设施设备运</w:t>
                  </w:r>
                  <w:r>
                    <w:rPr>
                      <w:rFonts w:ascii="仿宋_GB2312" w:hAnsi="仿宋_GB2312" w:cs="仿宋_GB2312" w:eastAsia="仿宋_GB2312"/>
                    </w:rPr>
                    <w:t xml:space="preserve"> </w:t>
                  </w:r>
                  <w:r>
                    <w:rPr>
                      <w:rFonts w:ascii="仿宋_GB2312" w:hAnsi="仿宋_GB2312" w:cs="仿宋_GB2312" w:eastAsia="仿宋_GB2312"/>
                      <w:sz w:val="24"/>
                      <w:b/>
                      <w:color w:val="000000"/>
                    </w:rPr>
                    <w:t>转情况</w:t>
                  </w:r>
                </w:p>
                <w:p>
                  <w:pPr>
                    <w:pStyle w:val="null3"/>
                    <w:spacing w:before="30"/>
                    <w:ind w:left="60"/>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10</w:t>
                  </w:r>
                  <w:r>
                    <w:rPr>
                      <w:rFonts w:ascii="仿宋_GB2312" w:hAnsi="仿宋_GB2312" w:cs="仿宋_GB2312" w:eastAsia="仿宋_GB2312"/>
                    </w:rPr>
                    <w:t xml:space="preserve"> </w:t>
                  </w:r>
                  <w:r>
                    <w:rPr>
                      <w:rFonts w:ascii="仿宋_GB2312" w:hAnsi="仿宋_GB2312" w:cs="仿宋_GB2312" w:eastAsia="仿宋_GB2312"/>
                      <w:sz w:val="24"/>
                      <w:b/>
                      <w:color w:val="000000"/>
                    </w:rPr>
                    <w:t>分）</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20"/>
                  </w:pPr>
                  <w:r>
                    <w:rPr>
                      <w:rFonts w:ascii="仿宋_GB2312" w:hAnsi="仿宋_GB2312" w:cs="仿宋_GB2312" w:eastAsia="仿宋_GB2312"/>
                      <w:sz w:val="24"/>
                      <w:color w:val="000000"/>
                    </w:rPr>
                    <w:t>设备设施及时维护检查，操作按规范进行，要保持干净。</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25"/>
                  </w:pPr>
                  <w:r>
                    <w:rPr>
                      <w:rFonts w:ascii="仿宋_GB2312" w:hAnsi="仿宋_GB2312" w:cs="仿宋_GB2312" w:eastAsia="仿宋_GB2312"/>
                      <w:sz w:val="24"/>
                      <w:color w:val="000000"/>
                    </w:rPr>
                    <w:t>4</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用水后及时关闭开关，用电后要及时关闭电源，用气后要及</w:t>
                  </w:r>
                  <w:r>
                    <w:rPr>
                      <w:rFonts w:ascii="仿宋_GB2312" w:hAnsi="仿宋_GB2312" w:cs="仿宋_GB2312" w:eastAsia="仿宋_GB2312"/>
                    </w:rPr>
                    <w:t xml:space="preserve"> </w:t>
                  </w:r>
                  <w:r>
                    <w:rPr>
                      <w:rFonts w:ascii="仿宋_GB2312" w:hAnsi="仿宋_GB2312" w:cs="仿宋_GB2312" w:eastAsia="仿宋_GB2312"/>
                      <w:sz w:val="24"/>
                      <w:color w:val="000000"/>
                    </w:rPr>
                    <w:t>时关闭气源及总阀。</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40"/>
                  </w:pPr>
                  <w:r>
                    <w:rPr>
                      <w:rFonts w:ascii="仿宋_GB2312" w:hAnsi="仿宋_GB2312" w:cs="仿宋_GB2312" w:eastAsia="仿宋_GB2312"/>
                      <w:sz w:val="24"/>
                      <w:color w:val="000000"/>
                    </w:rPr>
                    <w:t>3</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燃气管道、水管、电路有问题及时报告</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40"/>
                  </w:pPr>
                  <w:r>
                    <w:rPr>
                      <w:rFonts w:ascii="仿宋_GB2312" w:hAnsi="仿宋_GB2312" w:cs="仿宋_GB2312" w:eastAsia="仿宋_GB2312"/>
                      <w:sz w:val="24"/>
                      <w:color w:val="000000"/>
                    </w:rPr>
                    <w:t>3</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b/>
                      <w:color w:val="000000"/>
                    </w:rPr>
                    <w:t>4</w:t>
                  </w:r>
                </w:p>
              </w:tc>
              <w:tc>
                <w:tcPr>
                  <w:tcW w:type="dxa" w:w="332"/>
                  <w:gridSpan w:val="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b/>
                      <w:color w:val="000000"/>
                    </w:rPr>
                    <w:t>日常管理工</w:t>
                  </w:r>
                  <w:r>
                    <w:rPr>
                      <w:rFonts w:ascii="仿宋_GB2312" w:hAnsi="仿宋_GB2312" w:cs="仿宋_GB2312" w:eastAsia="仿宋_GB2312"/>
                    </w:rPr>
                    <w:t xml:space="preserve"> </w:t>
                  </w:r>
                  <w:r>
                    <w:rPr>
                      <w:rFonts w:ascii="仿宋_GB2312" w:hAnsi="仿宋_GB2312" w:cs="仿宋_GB2312" w:eastAsia="仿宋_GB2312"/>
                      <w:sz w:val="24"/>
                      <w:b/>
                      <w:color w:val="000000"/>
                    </w:rPr>
                    <w:t>作</w:t>
                  </w:r>
                </w:p>
                <w:p>
                  <w:pPr>
                    <w:pStyle w:val="null3"/>
                    <w:spacing w:before="30"/>
                    <w:ind w:left="135"/>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40</w:t>
                  </w:r>
                  <w:r>
                    <w:rPr>
                      <w:rFonts w:ascii="仿宋_GB2312" w:hAnsi="仿宋_GB2312" w:cs="仿宋_GB2312" w:eastAsia="仿宋_GB2312"/>
                    </w:rPr>
                    <w:t xml:space="preserve"> </w:t>
                  </w:r>
                  <w:r>
                    <w:rPr>
                      <w:rFonts w:ascii="仿宋_GB2312" w:hAnsi="仿宋_GB2312" w:cs="仿宋_GB2312" w:eastAsia="仿宋_GB2312"/>
                      <w:sz w:val="24"/>
                      <w:b/>
                      <w:color w:val="000000"/>
                    </w:rPr>
                    <w:t>分）</w:t>
                  </w: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rFonts w:ascii="仿宋_GB2312" w:hAnsi="仿宋_GB2312" w:cs="仿宋_GB2312" w:eastAsia="仿宋_GB2312"/>
                      <w:sz w:val="24"/>
                      <w:color w:val="000000"/>
                    </w:rPr>
                    <w:t>人员配备符合要求，不能少于规定人数。</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195"/>
                  </w:pPr>
                  <w:r>
                    <w:rPr>
                      <w:rFonts w:ascii="仿宋_GB2312" w:hAnsi="仿宋_GB2312" w:cs="仿宋_GB2312" w:eastAsia="仿宋_GB2312"/>
                      <w:sz w:val="24"/>
                      <w:color w:val="000000"/>
                    </w:rPr>
                    <w:t>10</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按时开饭，严格按照人员分批进餐要求控制各单位人员就餐</w:t>
                  </w:r>
                  <w:r>
                    <w:rPr>
                      <w:rFonts w:ascii="仿宋_GB2312" w:hAnsi="仿宋_GB2312" w:cs="仿宋_GB2312" w:eastAsia="仿宋_GB2312"/>
                    </w:rPr>
                    <w:t xml:space="preserve"> </w:t>
                  </w:r>
                  <w:r>
                    <w:rPr>
                      <w:rFonts w:ascii="仿宋_GB2312" w:hAnsi="仿宋_GB2312" w:cs="仿宋_GB2312" w:eastAsia="仿宋_GB2312"/>
                      <w:sz w:val="24"/>
                      <w:color w:val="000000"/>
                    </w:rPr>
                    <w:t>时间。</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40"/>
                  </w:pP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right"/>
                  </w:pPr>
                  <w:r>
                    <w:rPr>
                      <w:rFonts w:ascii="仿宋_GB2312" w:hAnsi="仿宋_GB2312" w:cs="仿宋_GB2312" w:eastAsia="仿宋_GB2312"/>
                      <w:sz w:val="24"/>
                      <w:color w:val="000000"/>
                    </w:rPr>
                    <w:t>按周制定菜谱，菜品搭配合理，</w:t>
                  </w:r>
                  <w:r>
                    <w:rPr>
                      <w:rFonts w:ascii="仿宋_GB2312" w:hAnsi="仿宋_GB2312" w:cs="仿宋_GB2312" w:eastAsia="仿宋_GB2312"/>
                    </w:rPr>
                    <w:t xml:space="preserve"> </w:t>
                  </w:r>
                  <w:r>
                    <w:rPr>
                      <w:rFonts w:ascii="仿宋_GB2312" w:hAnsi="仿宋_GB2312" w:cs="仿宋_GB2312" w:eastAsia="仿宋_GB2312"/>
                      <w:sz w:val="24"/>
                      <w:color w:val="000000"/>
                    </w:rPr>
                    <w:t>口味不得过咸、过酸、过辣。</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240"/>
                  </w:pP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服从管理、听从指挥，不允许出现吵架、打架事件，对所提</w:t>
                  </w:r>
                  <w:r>
                    <w:rPr>
                      <w:rFonts w:ascii="仿宋_GB2312" w:hAnsi="仿宋_GB2312" w:cs="仿宋_GB2312" w:eastAsia="仿宋_GB2312"/>
                      <w:sz w:val="24"/>
                      <w:color w:val="000000"/>
                    </w:rPr>
                    <w:t>意见和建议及时整改。</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25"/>
                  </w:pPr>
                  <w:r>
                    <w:rPr>
                      <w:rFonts w:ascii="仿宋_GB2312" w:hAnsi="仿宋_GB2312" w:cs="仿宋_GB2312" w:eastAsia="仿宋_GB2312"/>
                      <w:sz w:val="24"/>
                      <w:color w:val="000000"/>
                    </w:rPr>
                    <w:t>4</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操作间不得存放有毒有害危险物品，操作间内禁止吸烟，闲杂人员禁止进入操作间。</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40"/>
                  </w:pPr>
                  <w:r>
                    <w:rPr>
                      <w:rFonts w:ascii="仿宋_GB2312" w:hAnsi="仿宋_GB2312" w:cs="仿宋_GB2312" w:eastAsia="仿宋_GB2312"/>
                      <w:sz w:val="24"/>
                      <w:color w:val="000000"/>
                    </w:rPr>
                    <w:t>3</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公共设施及用品按照要求清洗消毒，餐厅、</w:t>
                  </w:r>
                  <w:r>
                    <w:rPr>
                      <w:rFonts w:ascii="仿宋_GB2312" w:hAnsi="仿宋_GB2312" w:cs="仿宋_GB2312" w:eastAsia="仿宋_GB2312"/>
                      <w:sz w:val="24"/>
                      <w:color w:val="000000"/>
                    </w:rPr>
                    <w:t>餐具物品摆放整齐、</w:t>
                  </w:r>
                  <w:r>
                    <w:rPr>
                      <w:rFonts w:ascii="仿宋_GB2312" w:hAnsi="仿宋_GB2312" w:cs="仿宋_GB2312" w:eastAsia="仿宋_GB2312"/>
                    </w:rPr>
                    <w:t xml:space="preserve"> </w:t>
                  </w:r>
                  <w:r>
                    <w:rPr>
                      <w:rFonts w:ascii="仿宋_GB2312" w:hAnsi="仿宋_GB2312" w:cs="仿宋_GB2312" w:eastAsia="仿宋_GB2312"/>
                      <w:sz w:val="24"/>
                      <w:color w:val="000000"/>
                    </w:rPr>
                    <w:t>擦拭干净。</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40"/>
                  </w:pP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灭蝇灯、消毒灯做到专人定时开启。</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240"/>
                  </w:pPr>
                  <w:r>
                    <w:rPr>
                      <w:rFonts w:ascii="仿宋_GB2312" w:hAnsi="仿宋_GB2312" w:cs="仿宋_GB2312" w:eastAsia="仿宋_GB2312"/>
                      <w:sz w:val="24"/>
                      <w:color w:val="000000"/>
                    </w:rPr>
                    <w:t>3</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77"/>
                  <w:vMerge/>
                  <w:tcBorders>
                    <w:top w:val="none" w:color="000000" w:sz="4"/>
                    <w:left w:val="single" w:color="000000" w:sz="4"/>
                    <w:bottom w:val="single" w:color="000000" w:sz="4"/>
                    <w:right w:val="single" w:color="000000" w:sz="4"/>
                  </w:tcBorders>
                </w:tcPr>
                <w:p/>
              </w:tc>
              <w:tc>
                <w:tcPr>
                  <w:tcW w:type="dxa" w:w="332"/>
                  <w:gridSpan w:val="2"/>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工作人员要会使用灭火毯、消防设施器材，要有事故防范的</w:t>
                  </w:r>
                  <w:r>
                    <w:rPr>
                      <w:rFonts w:ascii="仿宋_GB2312" w:hAnsi="仿宋_GB2312" w:cs="仿宋_GB2312" w:eastAsia="仿宋_GB2312"/>
                    </w:rPr>
                    <w:t xml:space="preserve"> </w:t>
                  </w:r>
                  <w:r>
                    <w:rPr>
                      <w:rFonts w:ascii="仿宋_GB2312" w:hAnsi="仿宋_GB2312" w:cs="仿宋_GB2312" w:eastAsia="仿宋_GB2312"/>
                      <w:sz w:val="24"/>
                      <w:color w:val="000000"/>
                    </w:rPr>
                    <w:t>基本技能。</w:t>
                  </w:r>
                </w:p>
              </w:tc>
              <w:tc>
                <w:tcPr>
                  <w:tcW w:type="dxa" w:w="2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40"/>
                  </w:pP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33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b/>
                      <w:color w:val="000000"/>
                    </w:rPr>
                    <w:t>总得分</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其它</w:t>
                  </w:r>
                </w:p>
              </w:tc>
              <w:tc>
                <w:tcPr>
                  <w:tcW w:type="dxa" w:w="220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凡造成食物中毒事故，乙方除承担一切刑事、民</w:t>
                  </w:r>
                  <w:r>
                    <w:rPr>
                      <w:rFonts w:ascii="仿宋_GB2312" w:hAnsi="仿宋_GB2312" w:cs="仿宋_GB2312" w:eastAsia="仿宋_GB2312"/>
                      <w:sz w:val="24"/>
                      <w:color w:val="000000"/>
                    </w:rPr>
                    <w:t>事（含经济赔偿）责任外，还将被处以</w:t>
                  </w:r>
                  <w:r>
                    <w:rPr>
                      <w:rFonts w:ascii="仿宋_GB2312" w:hAnsi="仿宋_GB2312" w:cs="仿宋_GB2312" w:eastAsia="仿宋_GB2312"/>
                      <w:sz w:val="24"/>
                      <w:color w:val="000000"/>
                    </w:rPr>
                    <w:t>10万元人民币的罚款，并终止合同。</w:t>
                  </w:r>
                </w:p>
              </w:tc>
            </w:tr>
            <w:tr>
              <w:tc>
                <w:tcPr>
                  <w:tcW w:type="dxa" w:w="254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注：月考核分值</w:t>
                  </w:r>
                  <w:r>
                    <w:rPr>
                      <w:rFonts w:ascii="仿宋_GB2312" w:hAnsi="仿宋_GB2312" w:cs="仿宋_GB2312" w:eastAsia="仿宋_GB2312"/>
                      <w:sz w:val="24"/>
                      <w:color w:val="000000"/>
                    </w:rPr>
                    <w:t>≥95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分为合格，按月考核结果据实支付服务费；</w:t>
                  </w:r>
                  <w:r>
                    <w:rPr>
                      <w:rFonts w:ascii="仿宋_GB2312" w:hAnsi="仿宋_GB2312" w:cs="仿宋_GB2312" w:eastAsia="仿宋_GB2312"/>
                      <w:sz w:val="24"/>
                      <w:color w:val="000000"/>
                    </w:rPr>
                    <w:t>90-95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分（含</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90）扣除当月</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500</w:t>
                  </w:r>
                  <w:r>
                    <w:rPr>
                      <w:rFonts w:ascii="仿宋_GB2312" w:hAnsi="仿宋_GB2312" w:cs="仿宋_GB2312" w:eastAsia="仿宋_GB2312"/>
                      <w:sz w:val="24"/>
                      <w:color w:val="000000"/>
                    </w:rPr>
                    <w:t>元服务费；</w:t>
                  </w:r>
                  <w:r>
                    <w:rPr>
                      <w:rFonts w:ascii="仿宋_GB2312" w:hAnsi="仿宋_GB2312" w:cs="仿宋_GB2312" w:eastAsia="仿宋_GB2312"/>
                      <w:sz w:val="24"/>
                      <w:color w:val="000000"/>
                    </w:rPr>
                    <w:t>90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分以下扣除当月</w:t>
                  </w:r>
                  <w:r>
                    <w:rPr>
                      <w:rFonts w:ascii="仿宋_GB2312" w:hAnsi="仿宋_GB2312" w:cs="仿宋_GB2312" w:eastAsia="仿宋_GB2312"/>
                      <w:sz w:val="24"/>
                      <w:color w:val="000000"/>
                    </w:rPr>
                    <w:t>1000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元服务费。</w:t>
                  </w:r>
                </w:p>
              </w:tc>
            </w:tr>
          </w:tbl>
          <w:p>
            <w:pPr>
              <w:pStyle w:val="null3"/>
              <w:jc w:val="left"/>
            </w:pPr>
            <w:r>
              <w:rPr>
                <w:rFonts w:ascii="仿宋_GB2312" w:hAnsi="仿宋_GB2312" w:cs="仿宋_GB2312" w:eastAsia="仿宋_GB2312"/>
                <w:sz w:val="24"/>
                <w:b/>
                <w:color w:val="000000"/>
              </w:rPr>
              <w:t>考核人签字：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标的名称：机关食堂采购项目二标段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一、配送范围</w:t>
            </w:r>
          </w:p>
          <w:p>
            <w:pPr>
              <w:pStyle w:val="null3"/>
              <w:ind w:firstLine="480"/>
            </w:pPr>
            <w:r>
              <w:rPr>
                <w:rFonts w:ascii="仿宋_GB2312" w:hAnsi="仿宋_GB2312" w:cs="仿宋_GB2312" w:eastAsia="仿宋_GB2312"/>
                <w:sz w:val="24"/>
                <w:color w:val="333333"/>
              </w:rPr>
              <w:t>本项目配送范围主要包括蔬菜、豆制品、水果、蛋类、米面、杂粮、半成品食物（凉皮、面条、凉粉、鱼鱼等）类等各类产品。</w:t>
            </w:r>
          </w:p>
          <w:p>
            <w:pPr>
              <w:pStyle w:val="null3"/>
              <w:ind w:firstLine="480"/>
            </w:pPr>
            <w:r>
              <w:rPr>
                <w:rFonts w:ascii="仿宋_GB2312" w:hAnsi="仿宋_GB2312" w:cs="仿宋_GB2312" w:eastAsia="仿宋_GB2312"/>
                <w:sz w:val="24"/>
                <w:color w:val="333333"/>
              </w:rPr>
              <w:t>具体配送范围由采购人根据需求补充。所有食材均须符合《中华人民共和国食品安全法》，不得采购转基因食品或利用转基因食品原料加工的成品，食品原料新鲜、清洁卫生。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、食材要求</w:t>
            </w:r>
          </w:p>
          <w:p>
            <w:pPr>
              <w:pStyle w:val="null3"/>
              <w:ind w:firstLine="480"/>
              <w:jc w:val="both"/>
            </w:pPr>
            <w:r>
              <w:rPr>
                <w:rFonts w:ascii="仿宋_GB2312" w:hAnsi="仿宋_GB2312" w:cs="仿宋_GB2312" w:eastAsia="仿宋_GB2312"/>
                <w:sz w:val="24"/>
              </w:rPr>
              <w:t>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w:t>
            </w:r>
          </w:p>
          <w:p>
            <w:pPr>
              <w:pStyle w:val="null3"/>
              <w:ind w:firstLine="480"/>
              <w:jc w:val="both"/>
            </w:pPr>
            <w:r>
              <w:rPr>
                <w:rFonts w:ascii="仿宋_GB2312" w:hAnsi="仿宋_GB2312" w:cs="仿宋_GB2312" w:eastAsia="仿宋_GB2312"/>
                <w:sz w:val="24"/>
              </w:rPr>
              <w:t>豆制类须保证食材干净、不含非食品用化学物质、按统一标准加工、码放整齐、无须二次处理可以直接进行熟加工。</w:t>
            </w:r>
          </w:p>
          <w:p>
            <w:pPr>
              <w:pStyle w:val="null3"/>
              <w:ind w:firstLine="480"/>
              <w:jc w:val="both"/>
            </w:pPr>
            <w:r>
              <w:rPr>
                <w:rFonts w:ascii="仿宋_GB2312" w:hAnsi="仿宋_GB2312" w:cs="仿宋_GB2312" w:eastAsia="仿宋_GB2312"/>
                <w:sz w:val="24"/>
              </w:rPr>
              <w:t>水果类须保证新鲜，无农药，无异味，无挤压、虫眼、过熟或欠熟，大小重量匀称等，表面无疤痕，果体光洁饱满。</w:t>
            </w:r>
          </w:p>
          <w:p>
            <w:pPr>
              <w:pStyle w:val="null3"/>
              <w:ind w:firstLine="480"/>
              <w:jc w:val="both"/>
            </w:pPr>
            <w:r>
              <w:rPr>
                <w:rFonts w:ascii="仿宋_GB2312" w:hAnsi="仿宋_GB2312" w:cs="仿宋_GB2312" w:eastAsia="仿宋_GB2312"/>
                <w:sz w:val="24"/>
              </w:rPr>
              <w:t>蛋类须新鲜，不超过三日以上产品，大小均匀，外壳无破裂，光洁饱满的产品，周转箱堆放。</w:t>
            </w:r>
          </w:p>
          <w:p>
            <w:pPr>
              <w:pStyle w:val="null3"/>
              <w:ind w:firstLine="480"/>
              <w:jc w:val="both"/>
            </w:pPr>
            <w:r>
              <w:rPr>
                <w:rFonts w:ascii="仿宋_GB2312" w:hAnsi="仿宋_GB2312" w:cs="仿宋_GB2312" w:eastAsia="仿宋_GB2312"/>
                <w:sz w:val="24"/>
              </w:rPr>
              <w:t>米、面类须达国家相应标准，验收时必须要求供方提供经国家食品卫生检验检疫机构检验出具的该批次批产品检验报告或合格证。批量米、面到货后，必须抽样打开包装仔细检查，要求供方产品不掺假、不过期、不变质、不变味、无杂质、无毒害，货物净重量须与外包装标明的重量一致，符合国家食品行业的标准产品。</w:t>
            </w:r>
          </w:p>
          <w:p>
            <w:pPr>
              <w:pStyle w:val="null3"/>
              <w:ind w:firstLine="480"/>
              <w:jc w:val="both"/>
            </w:pPr>
            <w:r>
              <w:rPr>
                <w:rFonts w:ascii="仿宋_GB2312" w:hAnsi="仿宋_GB2312" w:cs="仿宋_GB2312" w:eastAsia="仿宋_GB2312"/>
                <w:sz w:val="24"/>
              </w:rPr>
              <w:t>杂粮的卫生标准主要包括杂质、污染物、有害物质、微生物污染等指标符合国家食品行业的标准。杂粮的包装标准主要包括包装材料、包装规格、包装标签等指标符合国家食品行业的标准。</w:t>
            </w:r>
          </w:p>
          <w:p>
            <w:pPr>
              <w:pStyle w:val="null3"/>
              <w:ind w:firstLine="480"/>
              <w:jc w:val="both"/>
            </w:pPr>
            <w:r>
              <w:rPr>
                <w:rFonts w:ascii="仿宋_GB2312" w:hAnsi="仿宋_GB2312" w:cs="仿宋_GB2312" w:eastAsia="仿宋_GB2312"/>
                <w:sz w:val="24"/>
              </w:rPr>
              <w:t>半成品食物（凉皮、面条、凉粉、鱼鱼等）无异味、无任何表面附着物或衍生物，不掺假、不过期、不变味、无杂质、无毒无害，无霉变，符合国家食品卫生的有关规定，符合国家有关规定的放心食品。</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配送时间要求</w:t>
            </w:r>
          </w:p>
          <w:p>
            <w:pPr>
              <w:pStyle w:val="null3"/>
              <w:ind w:firstLine="480"/>
              <w:jc w:val="left"/>
            </w:pPr>
            <w:r>
              <w:rPr>
                <w:rFonts w:ascii="仿宋_GB2312" w:hAnsi="仿宋_GB2312" w:cs="仿宋_GB2312" w:eastAsia="仿宋_GB2312"/>
                <w:sz w:val="24"/>
                <w:color w:val="000000"/>
              </w:rPr>
              <w:t>一般情况下接到采购方通知后</w:t>
            </w:r>
            <w:r>
              <w:rPr>
                <w:rFonts w:ascii="仿宋_GB2312" w:hAnsi="仿宋_GB2312" w:cs="仿宋_GB2312" w:eastAsia="仿宋_GB2312"/>
                <w:sz w:val="24"/>
                <w:color w:val="000000"/>
              </w:rPr>
              <w:t>12小时内配送到位（提前24小时通知）。紧急情况下接到采购方通知后2小时内配送到位</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配送地点：</w:t>
            </w:r>
            <w:r>
              <w:rPr>
                <w:rFonts w:ascii="仿宋_GB2312" w:hAnsi="仿宋_GB2312" w:cs="仿宋_GB2312" w:eastAsia="仿宋_GB2312"/>
                <w:sz w:val="24"/>
              </w:rPr>
              <w:t>甲方指定地点。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、外包装箱（袋）要求：</w:t>
            </w:r>
          </w:p>
          <w:p>
            <w:pPr>
              <w:pStyle w:val="null3"/>
              <w:ind w:firstLine="480"/>
              <w:jc w:val="both"/>
            </w:pPr>
            <w:r>
              <w:rPr>
                <w:rFonts w:ascii="仿宋_GB2312" w:hAnsi="仿宋_GB2312" w:cs="仿宋_GB2312" w:eastAsia="仿宋_GB2312"/>
                <w:sz w:val="24"/>
              </w:rPr>
              <w:t>外包装箱（袋）：必须按照《食品安全国家标准</w:t>
            </w:r>
            <w:r>
              <w:rPr>
                <w:rFonts w:ascii="仿宋_GB2312" w:hAnsi="仿宋_GB2312" w:cs="仿宋_GB2312" w:eastAsia="仿宋_GB2312"/>
                <w:sz w:val="24"/>
              </w:rPr>
              <w:t>—预包装食品标签通则》（GB 7718-2011）中要求标明产品的食品名称、净含量和规格、生产者和（或）经销者的名称、地址和联系方式、生产日期和保质期、贮存条件、食品生产许可证编号、产品标准代号及其他需要标示的内容等。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、车辆配送服务要求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供应商自备送货车（冷藏或恒温），安排专人及时供货，装卸费、送货费用及运输安全由供货方承担。</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482"/>
              <w:jc w:val="both"/>
            </w:pPr>
            <w:r>
              <w:rPr>
                <w:rFonts w:ascii="仿宋_GB2312" w:hAnsi="仿宋_GB2312" w:cs="仿宋_GB2312" w:eastAsia="仿宋_GB2312"/>
                <w:sz w:val="24"/>
                <w:b/>
              </w:rPr>
              <w:t>七</w:t>
            </w:r>
            <w:r>
              <w:rPr>
                <w:rFonts w:ascii="仿宋_GB2312" w:hAnsi="仿宋_GB2312" w:cs="仿宋_GB2312" w:eastAsia="仿宋_GB2312"/>
                <w:sz w:val="24"/>
                <w:b/>
              </w:rPr>
              <w:t>、运输要求：</w:t>
            </w:r>
          </w:p>
          <w:p>
            <w:pPr>
              <w:pStyle w:val="null3"/>
              <w:ind w:firstLine="480"/>
              <w:jc w:val="both"/>
            </w:pPr>
            <w:r>
              <w:rPr>
                <w:rFonts w:ascii="仿宋_GB2312" w:hAnsi="仿宋_GB2312" w:cs="仿宋_GB2312" w:eastAsia="仿宋_GB2312"/>
                <w:sz w:val="24"/>
              </w:rPr>
              <w:t>1、运输由乙方负责，运杂费已包含在合同价款内，包括但不限于食材运输所产生的运输费、装卸费、仓储费、保险费等。</w:t>
            </w:r>
          </w:p>
          <w:p>
            <w:pPr>
              <w:pStyle w:val="null3"/>
              <w:ind w:firstLine="480"/>
              <w:jc w:val="both"/>
            </w:pPr>
            <w:r>
              <w:rPr>
                <w:rFonts w:ascii="仿宋_GB2312" w:hAnsi="仿宋_GB2312" w:cs="仿宋_GB2312" w:eastAsia="仿宋_GB2312"/>
                <w:sz w:val="24"/>
              </w:rPr>
              <w:t>2、乙方保证食材安全、按时运输到甲方指定交货地点，在交付甲方之前发生的不可预见的风险由乙方承担。</w:t>
            </w:r>
          </w:p>
          <w:p>
            <w:pPr>
              <w:pStyle w:val="null3"/>
              <w:ind w:firstLine="480"/>
              <w:jc w:val="both"/>
            </w:pPr>
            <w:r>
              <w:rPr>
                <w:rFonts w:ascii="仿宋_GB2312" w:hAnsi="仿宋_GB2312" w:cs="仿宋_GB2312" w:eastAsia="仿宋_GB2312"/>
                <w:sz w:val="24"/>
              </w:rPr>
              <w:t>3、所有货物在运输、装卸、搬运的过程中，造成采购人损失的，由成交供应商负责。</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482"/>
              <w:jc w:val="both"/>
            </w:pPr>
            <w:r>
              <w:rPr>
                <w:rFonts w:ascii="仿宋_GB2312" w:hAnsi="仿宋_GB2312" w:cs="仿宋_GB2312" w:eastAsia="仿宋_GB2312"/>
                <w:sz w:val="24"/>
                <w:b/>
              </w:rPr>
              <w:t>八</w:t>
            </w:r>
            <w:r>
              <w:rPr>
                <w:rFonts w:ascii="仿宋_GB2312" w:hAnsi="仿宋_GB2312" w:cs="仿宋_GB2312" w:eastAsia="仿宋_GB2312"/>
                <w:sz w:val="24"/>
                <w:b/>
              </w:rPr>
              <w:t>、质量保证：</w:t>
            </w:r>
          </w:p>
          <w:p>
            <w:pPr>
              <w:pStyle w:val="null3"/>
              <w:ind w:firstLine="480"/>
              <w:jc w:val="both"/>
            </w:pPr>
            <w:r>
              <w:rPr>
                <w:rFonts w:ascii="仿宋_GB2312" w:hAnsi="仿宋_GB2312" w:cs="仿宋_GB2312" w:eastAsia="仿宋_GB2312"/>
                <w:sz w:val="24"/>
              </w:rPr>
              <w:t>1、乙方所供食材保证技术指标符合要求、质量可靠、进货渠道正常，符合国家《产品质量法》、《食品安全法》等相关法律法规的要求。</w:t>
            </w:r>
          </w:p>
          <w:p>
            <w:pPr>
              <w:pStyle w:val="null3"/>
              <w:ind w:firstLine="480"/>
              <w:jc w:val="both"/>
            </w:pPr>
            <w:r>
              <w:rPr>
                <w:rFonts w:ascii="仿宋_GB2312" w:hAnsi="仿宋_GB2312" w:cs="仿宋_GB2312" w:eastAsia="仿宋_GB2312"/>
                <w:sz w:val="24"/>
              </w:rPr>
              <w:t>2、生产工艺符合国家要求。</w:t>
            </w:r>
          </w:p>
          <w:p>
            <w:pPr>
              <w:pStyle w:val="null3"/>
              <w:ind w:firstLine="480"/>
              <w:jc w:val="both"/>
            </w:pPr>
            <w:r>
              <w:rPr>
                <w:rFonts w:ascii="仿宋_GB2312" w:hAnsi="仿宋_GB2312" w:cs="仿宋_GB2312" w:eastAsia="仿宋_GB2312"/>
                <w:sz w:val="24"/>
              </w:rPr>
              <w:t>3、食材包装及标识符合国家有关规范要求。</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ind w:firstLine="482"/>
              <w:jc w:val="both"/>
            </w:pPr>
            <w:r>
              <w:rPr>
                <w:rFonts w:ascii="仿宋_GB2312" w:hAnsi="仿宋_GB2312" w:cs="仿宋_GB2312" w:eastAsia="仿宋_GB2312"/>
                <w:sz w:val="24"/>
                <w:b/>
              </w:rPr>
              <w:t>九</w:t>
            </w: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rPr>
              <w:t>1、合同执行中，甲方根据采购结果，按照每日实际需要，向排名第一供应方下达采购计划。</w:t>
            </w:r>
          </w:p>
          <w:p>
            <w:pPr>
              <w:pStyle w:val="null3"/>
              <w:ind w:firstLine="480"/>
              <w:jc w:val="both"/>
            </w:pPr>
            <w:r>
              <w:rPr>
                <w:rFonts w:ascii="仿宋_GB2312" w:hAnsi="仿宋_GB2312" w:cs="仿宋_GB2312" w:eastAsia="仿宋_GB2312"/>
                <w:sz w:val="24"/>
              </w:rPr>
              <w:t>2、乙方一次配送的同类食材，应为同一批次、同一规格，且剩余保质期不少于食材质保期三分之二。</w:t>
            </w:r>
          </w:p>
          <w:p>
            <w:pPr>
              <w:pStyle w:val="null3"/>
              <w:ind w:firstLine="480"/>
              <w:jc w:val="both"/>
            </w:pPr>
            <w:r>
              <w:rPr>
                <w:rFonts w:ascii="仿宋_GB2312" w:hAnsi="仿宋_GB2312" w:cs="仿宋_GB2312" w:eastAsia="仿宋_GB2312"/>
                <w:sz w:val="24"/>
              </w:rPr>
              <w:t>3、乙方应向甲方提供所有配送人员健康证备查。</w:t>
            </w:r>
          </w:p>
          <w:p>
            <w:pPr>
              <w:pStyle w:val="null3"/>
              <w:ind w:firstLine="480"/>
              <w:jc w:val="both"/>
            </w:pPr>
            <w:r>
              <w:rPr>
                <w:rFonts w:ascii="仿宋_GB2312" w:hAnsi="仿宋_GB2312" w:cs="仿宋_GB2312" w:eastAsia="仿宋_GB2312"/>
                <w:sz w:val="24"/>
              </w:rPr>
              <w:t>4、对不符合采购要求的产品由验收人员提出清退，乙方应无条件免费退（换）货；退（换）货前应实行留样备案，如双方对质量争议可送国家质监部门检测。对缺斤短两（或含水量超标）的应按实际重量扣减。出现退（换）货情况，应及时报告。在退货过程中，对有碍公共卫生安全的食品，应按国家有关规定处理或进行协议销毁，而不退货给乙方。</w:t>
            </w:r>
          </w:p>
          <w:p>
            <w:pPr>
              <w:pStyle w:val="null3"/>
              <w:ind w:firstLine="480"/>
              <w:jc w:val="both"/>
            </w:pPr>
            <w:r>
              <w:rPr>
                <w:rFonts w:ascii="仿宋_GB2312" w:hAnsi="仿宋_GB2312" w:cs="仿宋_GB2312" w:eastAsia="仿宋_GB2312"/>
                <w:sz w:val="24"/>
              </w:rPr>
              <w:t>5、乙方在运输、装卸及退（换）货物过程中发生的乙方工作人员、雇员人身损害及安全事故，均由乙方承担，与甲方无关。</w:t>
            </w:r>
          </w:p>
          <w:p>
            <w:pPr>
              <w:pStyle w:val="null3"/>
              <w:ind w:firstLine="480"/>
              <w:jc w:val="both"/>
            </w:pPr>
            <w:r>
              <w:rPr>
                <w:rFonts w:ascii="仿宋_GB2312" w:hAnsi="仿宋_GB2312" w:cs="仿宋_GB2312" w:eastAsia="仿宋_GB2312"/>
                <w:sz w:val="24"/>
              </w:rPr>
              <w:t>6、售后服务：供应商提供的产品若出现不合格产品或在运输途中出现破损的，应在接到采购人通知后30分钟内完成免费的退换货工作。</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标的名称：机关食堂采购项目三标段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（一）、配送范围</w:t>
            </w:r>
          </w:p>
          <w:p>
            <w:pPr>
              <w:pStyle w:val="null3"/>
              <w:ind w:firstLine="480"/>
            </w:pPr>
            <w:r>
              <w:rPr>
                <w:rFonts w:ascii="仿宋_GB2312" w:hAnsi="仿宋_GB2312" w:cs="仿宋_GB2312" w:eastAsia="仿宋_GB2312"/>
                <w:sz w:val="24"/>
                <w:color w:val="333333"/>
              </w:rPr>
              <w:t>本项目配送范围主要包括</w:t>
            </w:r>
            <w:r>
              <w:rPr>
                <w:rFonts w:ascii="仿宋_GB2312" w:hAnsi="仿宋_GB2312" w:cs="仿宋_GB2312" w:eastAsia="仿宋_GB2312"/>
                <w:sz w:val="24"/>
              </w:rPr>
              <w:t>肉类</w:t>
            </w:r>
            <w:r>
              <w:rPr>
                <w:rFonts w:ascii="仿宋_GB2312" w:hAnsi="仿宋_GB2312" w:cs="仿宋_GB2312" w:eastAsia="仿宋_GB2312"/>
                <w:sz w:val="24"/>
                <w:color w:val="333333"/>
              </w:rPr>
              <w:t>、</w:t>
            </w:r>
            <w:r>
              <w:rPr>
                <w:rFonts w:ascii="仿宋_GB2312" w:hAnsi="仿宋_GB2312" w:cs="仿宋_GB2312" w:eastAsia="仿宋_GB2312"/>
                <w:sz w:val="24"/>
              </w:rPr>
              <w:t>禽类</w:t>
            </w:r>
            <w:r>
              <w:rPr>
                <w:rFonts w:ascii="仿宋_GB2312" w:hAnsi="仿宋_GB2312" w:cs="仿宋_GB2312" w:eastAsia="仿宋_GB2312"/>
                <w:sz w:val="24"/>
                <w:color w:val="333333"/>
              </w:rPr>
              <w:t>、</w:t>
            </w:r>
            <w:r>
              <w:rPr>
                <w:rFonts w:ascii="仿宋_GB2312" w:hAnsi="仿宋_GB2312" w:cs="仿宋_GB2312" w:eastAsia="仿宋_GB2312"/>
                <w:sz w:val="24"/>
              </w:rPr>
              <w:t>食用</w:t>
            </w:r>
            <w:r>
              <w:rPr>
                <w:rFonts w:ascii="仿宋_GB2312" w:hAnsi="仿宋_GB2312" w:cs="仿宋_GB2312" w:eastAsia="仿宋_GB2312"/>
                <w:sz w:val="24"/>
              </w:rPr>
              <w:t>油类</w:t>
            </w:r>
            <w:r>
              <w:rPr>
                <w:rFonts w:ascii="仿宋_GB2312" w:hAnsi="仿宋_GB2312" w:cs="仿宋_GB2312" w:eastAsia="仿宋_GB2312"/>
                <w:sz w:val="24"/>
                <w:color w:val="333333"/>
              </w:rPr>
              <w:t>、</w:t>
            </w:r>
            <w:r>
              <w:rPr>
                <w:rFonts w:ascii="仿宋_GB2312" w:hAnsi="仿宋_GB2312" w:cs="仿宋_GB2312" w:eastAsia="仿宋_GB2312"/>
                <w:sz w:val="24"/>
              </w:rPr>
              <w:t>水产品类</w:t>
            </w:r>
            <w:r>
              <w:rPr>
                <w:rFonts w:ascii="仿宋_GB2312" w:hAnsi="仿宋_GB2312" w:cs="仿宋_GB2312" w:eastAsia="仿宋_GB2312"/>
                <w:sz w:val="24"/>
              </w:rPr>
              <w:t>、</w:t>
            </w:r>
            <w:r>
              <w:rPr>
                <w:rFonts w:ascii="仿宋_GB2312" w:hAnsi="仿宋_GB2312" w:cs="仿宋_GB2312" w:eastAsia="仿宋_GB2312"/>
                <w:sz w:val="24"/>
              </w:rPr>
              <w:t>调料类</w:t>
            </w:r>
            <w:r>
              <w:rPr>
                <w:rFonts w:ascii="仿宋_GB2312" w:hAnsi="仿宋_GB2312" w:cs="仿宋_GB2312" w:eastAsia="仿宋_GB2312"/>
                <w:sz w:val="24"/>
              </w:rPr>
              <w:t>、</w:t>
            </w:r>
            <w:r>
              <w:rPr>
                <w:rFonts w:ascii="仿宋_GB2312" w:hAnsi="仿宋_GB2312" w:cs="仿宋_GB2312" w:eastAsia="仿宋_GB2312"/>
                <w:sz w:val="24"/>
              </w:rPr>
              <w:t>副食</w:t>
            </w:r>
            <w:r>
              <w:rPr>
                <w:rFonts w:ascii="仿宋_GB2312" w:hAnsi="仿宋_GB2312" w:cs="仿宋_GB2312" w:eastAsia="仿宋_GB2312"/>
                <w:sz w:val="24"/>
              </w:rPr>
              <w:t>、</w:t>
            </w:r>
            <w:r>
              <w:rPr>
                <w:rFonts w:ascii="仿宋_GB2312" w:hAnsi="仿宋_GB2312" w:cs="仿宋_GB2312" w:eastAsia="仿宋_GB2312"/>
                <w:sz w:val="24"/>
              </w:rPr>
              <w:t>易耗品、乳制品、洗涤用品、厨杂</w:t>
            </w:r>
            <w:r>
              <w:rPr>
                <w:rFonts w:ascii="仿宋_GB2312" w:hAnsi="仿宋_GB2312" w:cs="仿宋_GB2312" w:eastAsia="仿宋_GB2312"/>
                <w:sz w:val="24"/>
              </w:rPr>
              <w:t>及其他</w:t>
            </w:r>
            <w:r>
              <w:rPr>
                <w:rFonts w:ascii="仿宋_GB2312" w:hAnsi="仿宋_GB2312" w:cs="仿宋_GB2312" w:eastAsia="仿宋_GB2312"/>
                <w:sz w:val="24"/>
                <w:color w:val="333333"/>
              </w:rPr>
              <w:t>等各类产品。</w:t>
            </w:r>
          </w:p>
          <w:p>
            <w:pPr>
              <w:pStyle w:val="null3"/>
              <w:ind w:firstLine="480"/>
            </w:pPr>
            <w:r>
              <w:rPr>
                <w:rFonts w:ascii="仿宋_GB2312" w:hAnsi="仿宋_GB2312" w:cs="仿宋_GB2312" w:eastAsia="仿宋_GB2312"/>
                <w:sz w:val="24"/>
                <w:color w:val="333333"/>
              </w:rPr>
              <w:t>具体配送范围由采购人根据需求补充。所有食材均须符合《中华人民共和国食品安全法》，不得采购转基因食品或利用转基因食品原料加工的成品，食品原料新鲜、清洁卫生。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产品</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肉类必须保证提供为当日生产产品，肉身必须盖有卫生检疫章，同时出具加盖政府机构动物卫生监督所鲜章的动物检疫合格证明，畜肉品须色泽鲜亮、无任何异味、无毛、按压无注水，纹理清晰，肉质细腻，品质好；</w:t>
            </w:r>
          </w:p>
          <w:p>
            <w:pPr>
              <w:pStyle w:val="null3"/>
              <w:ind w:firstLine="480"/>
              <w:jc w:val="both"/>
            </w:pPr>
            <w:r>
              <w:rPr>
                <w:rFonts w:ascii="仿宋_GB2312" w:hAnsi="仿宋_GB2312" w:cs="仿宋_GB2312" w:eastAsia="仿宋_GB2312"/>
                <w:sz w:val="24"/>
              </w:rPr>
              <w:t>禽类制品须肉面干净、无任何异味、无注水、无羽毛、表皮无疤痕，大小匀称、肉质紧至，码放整齐；</w:t>
            </w:r>
          </w:p>
          <w:p>
            <w:pPr>
              <w:pStyle w:val="null3"/>
              <w:ind w:firstLine="480"/>
              <w:jc w:val="both"/>
            </w:pPr>
            <w:r>
              <w:rPr>
                <w:rFonts w:ascii="仿宋_GB2312" w:hAnsi="仿宋_GB2312" w:cs="仿宋_GB2312" w:eastAsia="仿宋_GB2312"/>
                <w:sz w:val="24"/>
              </w:rPr>
              <w:t>食用</w:t>
            </w:r>
            <w:r>
              <w:rPr>
                <w:rFonts w:ascii="仿宋_GB2312" w:hAnsi="仿宋_GB2312" w:cs="仿宋_GB2312" w:eastAsia="仿宋_GB2312"/>
                <w:sz w:val="24"/>
              </w:rPr>
              <w:t>油类须达国家相应标准，验收</w:t>
            </w:r>
            <w:r>
              <w:rPr>
                <w:rFonts w:ascii="仿宋_GB2312" w:hAnsi="仿宋_GB2312" w:cs="仿宋_GB2312" w:eastAsia="仿宋_GB2312"/>
                <w:sz w:val="24"/>
              </w:rPr>
              <w:t>食用油</w:t>
            </w:r>
            <w:r>
              <w:rPr>
                <w:rFonts w:ascii="仿宋_GB2312" w:hAnsi="仿宋_GB2312" w:cs="仿宋_GB2312" w:eastAsia="仿宋_GB2312"/>
                <w:sz w:val="24"/>
              </w:rPr>
              <w:t>时必须要求供方提供经国家食品卫生检验检疫机构检验出具的该批次油产品检验报告或合格证。</w:t>
            </w:r>
            <w:r>
              <w:rPr>
                <w:rFonts w:ascii="仿宋_GB2312" w:hAnsi="仿宋_GB2312" w:cs="仿宋_GB2312" w:eastAsia="仿宋_GB2312"/>
                <w:sz w:val="24"/>
              </w:rPr>
              <w:t>食用</w:t>
            </w:r>
            <w:r>
              <w:rPr>
                <w:rFonts w:ascii="仿宋_GB2312" w:hAnsi="仿宋_GB2312" w:cs="仿宋_GB2312" w:eastAsia="仿宋_GB2312"/>
                <w:sz w:val="24"/>
              </w:rPr>
              <w:t>油到货后，必须抽样打开包装仔细检查，要求供方产品不掺假、不过期、不变质、不变味、无杂质、无毒害，货物净重量须与外包装标明的重量一致，符合国家食品行业的标准产品。</w:t>
            </w:r>
          </w:p>
          <w:p>
            <w:pPr>
              <w:pStyle w:val="null3"/>
              <w:ind w:firstLine="480"/>
              <w:jc w:val="both"/>
            </w:pPr>
            <w:r>
              <w:rPr>
                <w:rFonts w:ascii="仿宋_GB2312" w:hAnsi="仿宋_GB2312" w:cs="仿宋_GB2312" w:eastAsia="仿宋_GB2312"/>
                <w:sz w:val="24"/>
              </w:rPr>
              <w:t>水产品类须保证鲜活、大小基本统一，水产类净菜须保证处理干净冻品外包装需完整，无破损，无不封口现象，有生产日期。干货类须保证配送种类、品牌、规格，质量完全符合招标方要求，生产日期须在保质期二分之一天之内，包装完整、无任何破损、无挤压、无破碎、无异味、无任何表面附着物或衍生物。</w:t>
            </w:r>
          </w:p>
          <w:p>
            <w:pPr>
              <w:pStyle w:val="null3"/>
              <w:ind w:firstLine="480"/>
              <w:jc w:val="both"/>
            </w:pPr>
            <w:r>
              <w:rPr>
                <w:rFonts w:ascii="仿宋_GB2312" w:hAnsi="仿宋_GB2312" w:cs="仿宋_GB2312" w:eastAsia="仿宋_GB2312"/>
                <w:sz w:val="24"/>
              </w:rPr>
              <w:t>调料类须保证色泽正常，具有该品种固有的香味，滋味无异味，油酱均匀的酱体或无结块的粉状固体，封口平整，无破包，夹包，漏包，无污染</w:t>
            </w:r>
          </w:p>
          <w:p>
            <w:pPr>
              <w:pStyle w:val="null3"/>
              <w:ind w:firstLine="480"/>
              <w:jc w:val="both"/>
            </w:pPr>
            <w:r>
              <w:rPr>
                <w:rFonts w:ascii="仿宋_GB2312" w:hAnsi="仿宋_GB2312" w:cs="仿宋_GB2312" w:eastAsia="仿宋_GB2312"/>
                <w:sz w:val="24"/>
              </w:rPr>
              <w:t>副食及其他须保证食材干净、不含非食品用化学物质、按统一标准加工、码放整齐、无须二次处理可以直接进行熟加工。牛奶，小食品，须保证规格品种完全符合采购人要</w:t>
            </w:r>
            <w:r>
              <w:rPr>
                <w:rFonts w:ascii="仿宋_GB2312" w:hAnsi="仿宋_GB2312" w:cs="仿宋_GB2312" w:eastAsia="仿宋_GB2312"/>
                <w:sz w:val="24"/>
              </w:rPr>
              <w:t>求，大小包装规格齐全、生产日期须在保质期二分之一天之内，凭出厂合格证与检验员章确认质量。</w:t>
            </w:r>
          </w:p>
          <w:p>
            <w:pPr>
              <w:pStyle w:val="null3"/>
              <w:ind w:firstLine="480"/>
              <w:jc w:val="both"/>
            </w:pPr>
            <w:r>
              <w:rPr>
                <w:rFonts w:ascii="仿宋_GB2312" w:hAnsi="仿宋_GB2312" w:cs="仿宋_GB2312" w:eastAsia="仿宋_GB2312"/>
                <w:sz w:val="24"/>
              </w:rPr>
              <w:t>日用品采购要求基础卫生用品垃圾袋可降解材质、纸巾原生木浆或竹浆、洗手液抑菌型，清洁工具拖把、抹布需耐磨、易干、垃圾桶带盖防异味。质量要求耐用性，如扫把</w:t>
            </w:r>
            <w:r>
              <w:rPr>
                <w:rFonts w:ascii="仿宋_GB2312" w:hAnsi="仿宋_GB2312" w:cs="仿宋_GB2312" w:eastAsia="仿宋_GB2312"/>
                <w:sz w:val="24"/>
              </w:rPr>
              <w:t xml:space="preserve">/拖把手柄不易断裂，垃圾桶防锈。直接接触人体的物品需符合GB 15979《一次性使用卫生用品卫生标准》。优先采购节能节水产品（如节水型水龙头）。   </w:t>
            </w:r>
          </w:p>
          <w:p>
            <w:pPr>
              <w:pStyle w:val="null3"/>
              <w:ind w:firstLine="480"/>
              <w:jc w:val="both"/>
            </w:pPr>
            <w:r>
              <w:rPr>
                <w:rFonts w:ascii="仿宋_GB2312" w:hAnsi="仿宋_GB2312" w:cs="仿宋_GB2312" w:eastAsia="仿宋_GB2312"/>
                <w:sz w:val="24"/>
              </w:rPr>
              <w:t>洗涤用品必须安全环保性</w:t>
            </w:r>
            <w:r>
              <w:rPr>
                <w:rFonts w:ascii="仿宋_GB2312" w:hAnsi="仿宋_GB2312" w:cs="仿宋_GB2312" w:eastAsia="仿宋_GB2312"/>
                <w:sz w:val="24"/>
              </w:rPr>
              <w:t>符合国家环保标准，优先选择无磷、可生物降解、低</w:t>
            </w:r>
            <w:r>
              <w:rPr>
                <w:rFonts w:ascii="仿宋_GB2312" w:hAnsi="仿宋_GB2312" w:cs="仿宋_GB2312" w:eastAsia="仿宋_GB2312"/>
                <w:sz w:val="24"/>
              </w:rPr>
              <w:t>VOC产品。避免含强酸、强碱或致癌物质。</w:t>
            </w:r>
            <w:r>
              <w:rPr>
                <w:rFonts w:ascii="仿宋_GB2312" w:hAnsi="仿宋_GB2312" w:cs="仿宋_GB2312" w:eastAsia="仿宋_GB2312"/>
                <w:sz w:val="24"/>
              </w:rPr>
              <w:t>效</w:t>
            </w:r>
            <w:r>
              <w:rPr>
                <w:rFonts w:ascii="仿宋_GB2312" w:hAnsi="仿宋_GB2312" w:cs="仿宋_GB2312" w:eastAsia="仿宋_GB2312"/>
                <w:sz w:val="24"/>
              </w:rPr>
              <w:t>能要求</w:t>
            </w:r>
            <w:r>
              <w:rPr>
                <w:rFonts w:ascii="仿宋_GB2312" w:hAnsi="仿宋_GB2312" w:cs="仿宋_GB2312" w:eastAsia="仿宋_GB2312"/>
                <w:sz w:val="24"/>
              </w:rPr>
              <w:t>清洁效果明确，特殊场景需专用清洁剂，资质认证</w:t>
            </w:r>
            <w:r>
              <w:rPr>
                <w:rFonts w:ascii="仿宋_GB2312" w:hAnsi="仿宋_GB2312" w:cs="仿宋_GB2312" w:eastAsia="仿宋_GB2312"/>
                <w:sz w:val="24"/>
              </w:rPr>
              <w:t>生产厂家需提供化学品安全技术说明书、第三方检测报告，包装与储存</w:t>
            </w:r>
            <w:r>
              <w:rPr>
                <w:rFonts w:ascii="仿宋_GB2312" w:hAnsi="仿宋_GB2312" w:cs="仿宋_GB2312" w:eastAsia="仿宋_GB2312"/>
                <w:sz w:val="24"/>
              </w:rPr>
              <w:t xml:space="preserve">  </w:t>
            </w:r>
            <w:r>
              <w:rPr>
                <w:rFonts w:ascii="仿宋_GB2312" w:hAnsi="仿宋_GB2312" w:cs="仿宋_GB2312" w:eastAsia="仿宋_GB2312"/>
                <w:sz w:val="24"/>
              </w:rPr>
              <w:t>标签清晰。易燃、腐蚀性清洁剂需独立存放，符合消防要求。</w:t>
            </w:r>
          </w:p>
          <w:p>
            <w:pPr>
              <w:pStyle w:val="null3"/>
              <w:ind w:firstLine="480"/>
              <w:jc w:val="both"/>
            </w:pPr>
            <w:r>
              <w:rPr>
                <w:rFonts w:ascii="仿宋_GB2312" w:hAnsi="仿宋_GB2312" w:cs="仿宋_GB2312" w:eastAsia="仿宋_GB2312"/>
                <w:sz w:val="24"/>
              </w:rPr>
              <w:t>厨杂要求锅具、炊具、炉具、炖煮类、调味品、餐具、清洁用品类，选择食品级别的安全材料，如食品级不锈钢、陶瓷、玻璃、或食品级塑料。确保餐具不含有害物质，符合相关卫生标准。餐具应该符合国家或地区的食品安全标准，并获得相关的安全认证。择易于清洁和消毒的餐具，以确保卫生安全。餐具表面应光滑，不易藏污纳垢，容易清洗。餐具需要具备一定的耐磨耐用性，以确保在长时间使用中不易损坏。特别是对于食堂等大规模使用的场合，餐具的耐久性至关重要。餐具应该能够适应不同的温度，包括耐高温和耐低温。这样可以确保餐具在不同用途下都能正常使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配送时间要求</w:t>
            </w:r>
          </w:p>
          <w:p>
            <w:pPr>
              <w:pStyle w:val="null3"/>
              <w:ind w:firstLine="480"/>
              <w:jc w:val="left"/>
            </w:pPr>
            <w:r>
              <w:rPr>
                <w:rFonts w:ascii="仿宋_GB2312" w:hAnsi="仿宋_GB2312" w:cs="仿宋_GB2312" w:eastAsia="仿宋_GB2312"/>
                <w:sz w:val="24"/>
                <w:color w:val="000000"/>
              </w:rPr>
              <w:t>一般情况下接到采购方通知后</w:t>
            </w:r>
            <w:r>
              <w:rPr>
                <w:rFonts w:ascii="仿宋_GB2312" w:hAnsi="仿宋_GB2312" w:cs="仿宋_GB2312" w:eastAsia="仿宋_GB2312"/>
                <w:sz w:val="24"/>
                <w:color w:val="000000"/>
              </w:rPr>
              <w:t>12小时内配送到位（提前24小时通知）。紧急情况下接到采购方通知后2小时内配送到位</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（四）配送地点：</w:t>
            </w:r>
            <w:r>
              <w:rPr>
                <w:rFonts w:ascii="仿宋_GB2312" w:hAnsi="仿宋_GB2312" w:cs="仿宋_GB2312" w:eastAsia="仿宋_GB2312"/>
                <w:sz w:val="24"/>
              </w:rPr>
              <w:t>甲方指定地点。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）外包装箱（袋）要求：</w:t>
            </w:r>
          </w:p>
          <w:p>
            <w:pPr>
              <w:pStyle w:val="null3"/>
              <w:ind w:firstLine="480"/>
              <w:jc w:val="both"/>
            </w:pPr>
            <w:r>
              <w:rPr>
                <w:rFonts w:ascii="仿宋_GB2312" w:hAnsi="仿宋_GB2312" w:cs="仿宋_GB2312" w:eastAsia="仿宋_GB2312"/>
                <w:sz w:val="24"/>
              </w:rPr>
              <w:t>外包装箱（袋）：必须按照《食品安全国家标准</w:t>
            </w:r>
            <w:r>
              <w:rPr>
                <w:rFonts w:ascii="仿宋_GB2312" w:hAnsi="仿宋_GB2312" w:cs="仿宋_GB2312" w:eastAsia="仿宋_GB2312"/>
                <w:sz w:val="24"/>
              </w:rPr>
              <w:t>—预包装食品标签通则》（GB 7718-2011）中要求标明产品的食品名称、净含量和规格、生产者和（或）经销者的名称、地址和联系方式、生产日期和保质期、贮存条件、食品生产许可证编号、产品标准代号及其他需要标示的内容等。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）车辆配送服务要求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供应商自备送货车（冷藏或恒温），安排专人及时供货，装卸费、送货费用及运输安全由供货方承担。</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七</w:t>
            </w:r>
            <w:r>
              <w:rPr>
                <w:rFonts w:ascii="仿宋_GB2312" w:hAnsi="仿宋_GB2312" w:cs="仿宋_GB2312" w:eastAsia="仿宋_GB2312"/>
                <w:sz w:val="24"/>
                <w:b/>
              </w:rPr>
              <w:t>）运输要求：</w:t>
            </w:r>
          </w:p>
          <w:p>
            <w:pPr>
              <w:pStyle w:val="null3"/>
              <w:ind w:firstLine="480"/>
              <w:jc w:val="both"/>
            </w:pPr>
            <w:r>
              <w:rPr>
                <w:rFonts w:ascii="仿宋_GB2312" w:hAnsi="仿宋_GB2312" w:cs="仿宋_GB2312" w:eastAsia="仿宋_GB2312"/>
                <w:sz w:val="24"/>
              </w:rPr>
              <w:t>1、运输由乙方负责，运杂费已包含在合同价款内，包括但不限于食材运输所产生的运输费、装卸费、仓储费、保险费等。</w:t>
            </w:r>
          </w:p>
          <w:p>
            <w:pPr>
              <w:pStyle w:val="null3"/>
              <w:ind w:firstLine="480"/>
              <w:jc w:val="both"/>
            </w:pPr>
            <w:r>
              <w:rPr>
                <w:rFonts w:ascii="仿宋_GB2312" w:hAnsi="仿宋_GB2312" w:cs="仿宋_GB2312" w:eastAsia="仿宋_GB2312"/>
                <w:sz w:val="24"/>
              </w:rPr>
              <w:t>2、乙方保证食材安全、按时运输到甲方指定交货地点，在交付甲方之前发生的不可预见的风险由乙方承担。</w:t>
            </w:r>
          </w:p>
          <w:p>
            <w:pPr>
              <w:pStyle w:val="null3"/>
              <w:ind w:firstLine="480"/>
              <w:jc w:val="both"/>
            </w:pPr>
            <w:r>
              <w:rPr>
                <w:rFonts w:ascii="仿宋_GB2312" w:hAnsi="仿宋_GB2312" w:cs="仿宋_GB2312" w:eastAsia="仿宋_GB2312"/>
                <w:sz w:val="24"/>
              </w:rPr>
              <w:t>3、所有货物在运输、装卸、搬运的过程中，造成采购人损失的，由成交供应商负责。</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八</w:t>
            </w:r>
            <w:r>
              <w:rPr>
                <w:rFonts w:ascii="仿宋_GB2312" w:hAnsi="仿宋_GB2312" w:cs="仿宋_GB2312" w:eastAsia="仿宋_GB2312"/>
                <w:sz w:val="24"/>
                <w:b/>
              </w:rPr>
              <w:t>）质量保证：</w:t>
            </w:r>
          </w:p>
          <w:p>
            <w:pPr>
              <w:pStyle w:val="null3"/>
              <w:ind w:firstLine="480"/>
              <w:jc w:val="both"/>
            </w:pPr>
            <w:r>
              <w:rPr>
                <w:rFonts w:ascii="仿宋_GB2312" w:hAnsi="仿宋_GB2312" w:cs="仿宋_GB2312" w:eastAsia="仿宋_GB2312"/>
                <w:sz w:val="24"/>
              </w:rPr>
              <w:t>1、乙方所供食材保证技术指标符合要求、质量可靠、进货渠道正常，符合国家《产品质量法》、《食品安全法》等相关法律法规的要求。</w:t>
            </w:r>
          </w:p>
          <w:p>
            <w:pPr>
              <w:pStyle w:val="null3"/>
              <w:ind w:firstLine="480"/>
              <w:jc w:val="both"/>
            </w:pPr>
            <w:r>
              <w:rPr>
                <w:rFonts w:ascii="仿宋_GB2312" w:hAnsi="仿宋_GB2312" w:cs="仿宋_GB2312" w:eastAsia="仿宋_GB2312"/>
                <w:sz w:val="24"/>
              </w:rPr>
              <w:t>2、生产工艺符合国家要求。</w:t>
            </w:r>
          </w:p>
          <w:p>
            <w:pPr>
              <w:pStyle w:val="null3"/>
              <w:ind w:firstLine="480"/>
              <w:jc w:val="both"/>
            </w:pPr>
            <w:r>
              <w:rPr>
                <w:rFonts w:ascii="仿宋_GB2312" w:hAnsi="仿宋_GB2312" w:cs="仿宋_GB2312" w:eastAsia="仿宋_GB2312"/>
                <w:sz w:val="24"/>
              </w:rPr>
              <w:t>3、食材包装及标识符合国家有关规范要求。</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九</w:t>
            </w: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rPr>
              <w:t>1、合同执行中，甲方根据采购结果，按照每日实际需要，向排名第一供应方下达采购计划。</w:t>
            </w:r>
          </w:p>
          <w:p>
            <w:pPr>
              <w:pStyle w:val="null3"/>
              <w:ind w:firstLine="480"/>
              <w:jc w:val="both"/>
            </w:pPr>
            <w:r>
              <w:rPr>
                <w:rFonts w:ascii="仿宋_GB2312" w:hAnsi="仿宋_GB2312" w:cs="仿宋_GB2312" w:eastAsia="仿宋_GB2312"/>
                <w:sz w:val="24"/>
              </w:rPr>
              <w:t>2、乙方一次配送的同类食材，应为同一批次、同一规格，且剩余保质期不少于食材质保期三分之二。</w:t>
            </w:r>
          </w:p>
          <w:p>
            <w:pPr>
              <w:pStyle w:val="null3"/>
              <w:ind w:firstLine="480"/>
              <w:jc w:val="both"/>
            </w:pPr>
            <w:r>
              <w:rPr>
                <w:rFonts w:ascii="仿宋_GB2312" w:hAnsi="仿宋_GB2312" w:cs="仿宋_GB2312" w:eastAsia="仿宋_GB2312"/>
                <w:sz w:val="24"/>
              </w:rPr>
              <w:t>3、乙方应向甲方提供所有配送人员健康证备查。</w:t>
            </w:r>
          </w:p>
          <w:p>
            <w:pPr>
              <w:pStyle w:val="null3"/>
              <w:ind w:firstLine="480"/>
              <w:jc w:val="both"/>
            </w:pPr>
            <w:r>
              <w:rPr>
                <w:rFonts w:ascii="仿宋_GB2312" w:hAnsi="仿宋_GB2312" w:cs="仿宋_GB2312" w:eastAsia="仿宋_GB2312"/>
                <w:sz w:val="24"/>
              </w:rPr>
              <w:t>4、对不符合采购要求的产品由验收人员提出清退，乙方应无条件免费退（换）货；退（换）货前应实行留样备案，如双方对质量争议可送国家质监部门检测。对缺斤短两（或含水量超标）的应按实际重量扣减。出现退（换）货情况，应及时报告。在退货过程中，对有碍公共卫生安全的食品，应按国家有关规定处理或进行协议销毁，而不退货给乙方。</w:t>
            </w:r>
          </w:p>
          <w:p>
            <w:pPr>
              <w:pStyle w:val="null3"/>
              <w:ind w:firstLine="480"/>
              <w:jc w:val="both"/>
            </w:pPr>
            <w:r>
              <w:rPr>
                <w:rFonts w:ascii="仿宋_GB2312" w:hAnsi="仿宋_GB2312" w:cs="仿宋_GB2312" w:eastAsia="仿宋_GB2312"/>
                <w:sz w:val="24"/>
              </w:rPr>
              <w:t>5、乙方在运输、装卸及退（换）货物过程中发生的乙方工作人员、雇员人身损害及安全事故，均由乙方承担，与甲方无关。</w:t>
            </w:r>
          </w:p>
          <w:p>
            <w:pPr>
              <w:pStyle w:val="null3"/>
              <w:ind w:firstLine="480"/>
              <w:jc w:val="both"/>
            </w:pPr>
            <w:r>
              <w:rPr>
                <w:rFonts w:ascii="仿宋_GB2312" w:hAnsi="仿宋_GB2312" w:cs="仿宋_GB2312" w:eastAsia="仿宋_GB2312"/>
                <w:sz w:val="24"/>
              </w:rPr>
              <w:t>6、售后服务：供应商提供的产品若出现不合格产品或在运输途中出现破损的，应在接到采购人通知后30分钟内完成免费的退换货工作。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满足项目所需人员要求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满足项目所需人员要求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满足项目所需人员要求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服务费按月结算支付；每月15日前甲方根据实际考核结果据实结算，付款前乙方向甲方提供全额发票，甲方收到发票后，以银行转账方式结算上月服务费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合同价款包括：服务费、售后服务费、利润、税金、保险、相关伴随费用等的一切费用。2、签订合同后，按照实际产生的费用，每月据实结算。供应商须提供货物清单。乙方应提供符合税务规定的合法有效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1、合同价款包括：服务费、售后服务费、利润、税金、保险、相关伴随费用等的一切费用。2、签订合同后，按照实际产生的费用，每月据实结算。供应商须提供货物清单。乙方应提供符合税务规定的合法有效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采购包1:1、成交供应商在领取中标（成交）通知书时向代理机构提供纸质版响应文件，响应文件为正本一份，副本二 份，电子U盘二份。 2、如磋商文件中融资相关内容与新政策要求有出入，按照最新要求执行。 采购包2：1、成交供应商在领取中标（成交）通知书时向代理机构提供纸质版响应文件，响应文件为正本一份，副本二份，电子U盘二份。 2、如磋商文件中融资相关内容与新政策要求有出入，按照最新要求执行。 3、报价下浮（%）形式时，供应商的报价%最高的，即为评标基准价。例货物类采购供应商报价为60%，货物价=（1-60%）* 平均零售价(单位为%)。 4、采购人每月按照“西安市农业 农村局”网站：（http://nyncj.xa.gov.cn/）“欣桥批发市场”“朱雀市场”“摩尔农产品交易中心”“北城批发市场”公布零售市场 价格的平均价为基准价，供应商在此基准价上报优惠率，若为网站没有公布价格的品种，按采购人同类市场调研价格结算。调 料及干货类的报价各供应商按照同类市场价格基础报优惠率。合同签订以后，优惠率不得随意调整，如成交供应商无法按合同约定 的优惠率供货，视为违约，由本次招标下一名次替补，依次类推。 采购包3：1、成交供应商在领取中标（成交）通知书时向 代理机构提供纸质版响应文件，响应文件为正本一份，副本二份，电子U盘二份。 2、如磋商文件中融资相关内容与新政策要 求有出入，按照最新要求执行。 3、报价下浮（%）形式时，供应商的报价%最高的，即为评标基准价。例货物类采购供应商 报价为60%，货物价=（1-60%）* 平均零售价(单位为%)。 4、采购人每月按照“西安市农业农村局”网站： （http://nyncj.xa.gov.cn/）“欣桥批发市场”“朱雀市场”“摩尔农产品交易中心”“北城批发市场”公布零售市场价格的平均价为基准价，供应商在此基准价上报优惠率，若为网站没有公布价格的品种，按采购人同类市场调研价格结算。调料及干货类的 报价各供应商按照同类市场价格基础报优惠率。合同签订以后，优惠率不得随意调整，如成交供应商无法按合同约定的优惠率供货，视为违约，由本次招标下一名次替补，依次类推。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2023年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供应商应提交的相关资格证明材料（1）.docx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供应商应提交的相关资格证明材料（2）.docx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2023年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供应商应提交的相关资格证明材料（2）.docx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供应商应提交的相关资格证明材料（2）.docx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供应商应提交的相关资格证明材料（3）.docx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2023年或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供应商应提交的相关资格证明材料（3）.docx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供应商应提交的相关资格证明材料（3）.docx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供应商须提供食品经营许可证；</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供应商为生产厂家的须提供食品生产许可证；供应商为代理商的须提供食品经营许可证；供应商须提供所投产品生产企业的《动物防疫条件合格证》（蛋类)；</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供应商为生产厂家的须提供食品生产许可证；供应商为代理商的须提供食品经营许可证；供应商须提供所投产品生产企业的《动物防疫条件合格证》（肉类)；</w:t>
            </w:r>
          </w:p>
        </w:tc>
        <w:tc>
          <w:tcPr>
            <w:tcW w:type="dxa" w:w="1661"/>
          </w:tcPr>
          <w:p>
            <w:pPr>
              <w:pStyle w:val="null3"/>
            </w:pPr>
            <w:r>
              <w:rPr>
                <w:rFonts w:ascii="仿宋_GB2312" w:hAnsi="仿宋_GB2312" w:cs="仿宋_GB2312" w:eastAsia="仿宋_GB2312"/>
              </w:rPr>
              <w:t>供应商应提交的相关资格证明材料（3）.docx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供应商应提交的相关资格证明材料（3）.docx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报价明细表（1）.docx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报价明细表（1）.docx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服务内容及服务邀请应答表 中小企业声明函 商务应答表 服务方案（1）.docx 供应商需补充的其他内容（1）.docx 报价表 响应文件封面 残疾人福利性单位声明函 报价明细表（1）.docx 标的清单 业绩的相关证明材料（1）.docx 响应函 供应商应提交的相关资格证明材料（1）.docx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服务内容及服务邀请应答表 中小企业声明函 商务应答表 服务方案（1）.docx 供应商需补充的其他内容（1）.docx 报价表 响应文件封面 残疾人福利性单位声明函 报价明细表（1）.docx 标的清单 业绩的相关证明材料（1）.docx 响应函 供应商应提交的相关资格证明材料（1）.docx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服务方案（1）.docx 供应商需补充的其他内容（1）.docx 报价表 响应文件封面 残疾人福利性单位声明函 报价明细表（1）.docx 标的清单 业绩的相关证明材料（1）.docx 响应函 供应商应提交的相关资格证明材料（1）.docx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业绩的相关证明材料（2）.docx 服务内容及服务邀请应答表 供应商应提交的相关资格证明材料（2）.docx 中小企业声明函 商务应答表 报价表 服务方案（2）.docx 响应文件封面 供应商需补充的其他内容（2）.docx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业绩的相关证明材料（2）.docx 服务内容及服务邀请应答表 供应商应提交的相关资格证明材料（2）.docx 中小企业声明函 商务应答表 报价表 服务方案（2）.docx 响应文件封面 供应商需补充的其他内容（2）.docx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业绩的相关证明材料（2）.docx 服务内容及服务邀请应答表 供应商应提交的相关资格证明材料（2）.docx 中小企业声明函 商务应答表 报价表 服务方案（2）.docx 响应文件封面 供应商需补充的其他内容（2）.docx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供应商应提交的相关资格证明材料（3）.docx 报价表 业绩的相关证明材料（3）.docx 响应文件封面 服务方案（3）.docx 供应商需补充的其他内容（3）.docx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供应商应提交的相关资格证明材料（3）.docx 报价表 业绩的相关证明材料（3）.docx 响应文件封面 服务方案（3）.docx 供应商需补充的其他内容（3）.docx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供应商应提交的相关资格证明材料（3）.docx 报价表 业绩的相关证明材料（3）.docx 响应文件封面 服务方案（3）.docx 供应商需补充的其他内容（3）.docx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针对本项目提供具体可行的服务质量方案，包括但不限于①管理方案；②服务定位；③营运方案。 1、完善性：方案必须全面，对评审内容中的各项要求有详细阐述； 2、可实施性：切合本项目实际情况，提出步骤清晰、合理的方案； 3、针对性：方案能够紧扣项目实际情况，内容科学合理。 上述评审内容全部满足评审标准得15分，每有一个评审内容缺项扣5分，每有一项评审内容存在缺陷，扣（0-5）分，扣完为止。 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服务质量控制措施及承诺</w:t>
            </w:r>
          </w:p>
        </w:tc>
        <w:tc>
          <w:tcPr>
            <w:tcW w:type="dxa" w:w="2492"/>
          </w:tcPr>
          <w:p>
            <w:pPr>
              <w:pStyle w:val="null3"/>
            </w:pPr>
            <w:r>
              <w:rPr>
                <w:rFonts w:ascii="仿宋_GB2312" w:hAnsi="仿宋_GB2312" w:cs="仿宋_GB2312" w:eastAsia="仿宋_GB2312"/>
              </w:rPr>
              <w:t>针对本项目提供具体可行的服务质量控制措施及承诺，包括但不限于①人员卫生管控措施；②成本管控措施；③环境卫生控制措施；④设施设备管理措施；⑤节能管理措施；⑥有利于本项目实施的服务承诺。 1、完善性：方案必须全面，对评审内容中的各项要求有详细阐述； 2、可实施性：切合本项目实际情况，提出步骤清晰、合理的方案； 3、针对性：方案能够紧扣项目实际情况，内容科学合理。 上述评审内容全部满足评审标准得30分，每有一个评审内容缺项扣5分，每有一项评审内容存在缺陷，扣（0-5）分，扣完为止。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针对本项目提供具体可行的团队配置方案，包括但不限于①团队人员架构；②岗位人员配置合理，有丰富的项目经验；③团队人员管理制度。 1、完善性：方案必须全面，对评审内容中的各项要求有详细阐述； 2、可实施性：切合本项目实际情况，提出步骤清晰、合理的方案； 3、针对性：方案能够紧扣项目实际情况，内容科学合理。 上述评审内容全部满足评审标准得12分，每有一个评审内容缺项扣4分，每有一项评审内容存在缺陷，扣（0-4）分，扣完为止。 说明：缺陷是指内容没有结合项目实际需求、虽有内容但不完善、内容表述前后不一致、套用其他项目方案</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针对本项目提供具体可行的应急方案，包括但不限于①临时开餐处置方案；②食品安全事故及食物中毒事件应急预案；③设备工具补充；④工伤处置预案；⑤停水、停电、停气应急预案。 1、完善性：方案必须全面，对评审内容中的各项要求有详细阐述； 2、可实施性：切合本项目实际情况，提出步骤清晰、合理的方案； 3、针对性：方案能够紧扣项目实际情况，内容科学合理。 上述评审内容全部满足评审标准得15分，每有一个评审内容缺项扣3分，每有一项评审内容存在缺陷，扣（0-3）分，扣完为止。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针对本项目提供具体可行的管理质量控制方案，包括但不限于①服务响应；②进度保障措施；③考核机制；④监督机制。 1、完善性：方案必须全面，对评审内容中的各项要求有详细阐述； 2、可实施性：切合本项目实际情况，提出步骤清晰、合理的方案； 3、针对性：方案能够紧扣项目实际情况，内容科学合理。 上述评审内容全部满足评审标准得10分，每有一个评审内容缺项扣2.5分，每有一项评审内容存在缺陷，扣（0-2.5）分，扣完为止。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提供2022年5月至今类似业绩，提供一份得2分，最高得8分。 注：提供合同复印件加盖公章，合同签订时间及金额以合同中体现的内容为准。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本项目实际情况，编制服务方案，应包含：①供货保障方案；②日常管理组织方案；③物流配送方案；④退换货服务方案；⑤公司内控制度；⑥针对本项目的应急预案。方案各部分内容全面详细、阐述条理清晰详尽、符合本项目采购需求，能有效保障本项目实施的计30分，每有一个缺项扣5分，每有一项内容不完整或有缺陷或与项目不匹配的，扣2.5分，扣完为止。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p>
            <w:pPr>
              <w:pStyle w:val="null3"/>
            </w:pPr>
            <w:r>
              <w:rPr>
                <w:rFonts w:ascii="仿宋_GB2312" w:hAnsi="仿宋_GB2312" w:cs="仿宋_GB2312" w:eastAsia="仿宋_GB2312"/>
              </w:rPr>
              <w:t>供应商需补充的其他内容（2）.docx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根据本项目实际情况，编制质量保证方案，应包括①食材质量安全、卫生保证方案；②货物来源证明；③采购环节的质量控制方案；④加工包装保证运输等各环节的质量控制方案。 方案各部分内容全面详细、阐述条理清晰详尽、符合本项目采购需求，能有效保障本项目实施的计20分，每有一个缺项扣5分，每有一项内容不完整或有缺陷或与项目不匹配的，扣2.5分，扣完为止。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p>
            <w:pPr>
              <w:pStyle w:val="null3"/>
            </w:pPr>
            <w:r>
              <w:rPr>
                <w:rFonts w:ascii="仿宋_GB2312" w:hAnsi="仿宋_GB2312" w:cs="仿宋_GB2312" w:eastAsia="仿宋_GB2312"/>
              </w:rPr>
              <w:t>供应商需补充的其他内容（2）.docx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根据本项目要求，编制人员配备方案。①配备人员数量；②专业人员配置齐全；③人员安排分工明确。其中配送人员应提供在有效期内的健康证，司机应提供驾驶证、健康证等相关证明资料。 以上内容应团队组织计划合理、结构清晰，项目组成人员职责任务明确、人员数量和人员专业结构配备合理，根据提供上述每项内容的细致程度1-3分，本项目共计9分。未提供相关内容的不计分。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p>
            <w:pPr>
              <w:pStyle w:val="null3"/>
            </w:pPr>
            <w:r>
              <w:rPr>
                <w:rFonts w:ascii="仿宋_GB2312" w:hAnsi="仿宋_GB2312" w:cs="仿宋_GB2312" w:eastAsia="仿宋_GB2312"/>
              </w:rPr>
              <w:t>供应商需补充的其他内容（2）.docx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针对本项目特点，提供本项目服务承诺，应包含①货物质量承诺；②响应时间承诺；③退换货承诺；④服务过程中的人员到岗情况。 根据提供上述每项内容的细致程度1-2.5分，本项目共计10分。未提供相关内容的不计分。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p>
            <w:pPr>
              <w:pStyle w:val="null3"/>
            </w:pPr>
            <w:r>
              <w:rPr>
                <w:rFonts w:ascii="仿宋_GB2312" w:hAnsi="仿宋_GB2312" w:cs="仿宋_GB2312" w:eastAsia="仿宋_GB2312"/>
              </w:rPr>
              <w:t>供应商需补充的其他内容（2）.docx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针对本项目要求提供配送方案，包括但不限于：①食材调配方案、②配送流程、③配送管理、④配送车辆配备方案等。 1.配送方案清晰，内容全面，配置车辆完全满足采购要求的得（7-11]分； 2.配送方案不够清晰，内容不够全面，配置车辆基本满足采购要求的得（4-7]分； 3.配送方案不清晰，内容简单有缺项，不合理，配置车辆不能满足采购要求的得[0-4]分。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p>
            <w:pPr>
              <w:pStyle w:val="null3"/>
            </w:pPr>
            <w:r>
              <w:rPr>
                <w:rFonts w:ascii="仿宋_GB2312" w:hAnsi="仿宋_GB2312" w:cs="仿宋_GB2312" w:eastAsia="仿宋_GB2312"/>
              </w:rPr>
              <w:t>供应商需补充的其他内容（2）.docx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提供2022年5月至今类似业绩，提供一份得2分，最高得10分。 注：提供合同复印件加盖公章，合同签订时间及金额以合同中体现的内容为准。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满足磋商文件要求且磋商下浮率最高的磋商报价为磋商基准价，其价格分为满分。其他供应商的价格下浮率分统一按照下列公式计算：磋商下浮率得分=（[（1-磋商基准价）/（1-最后磋商报价）]×价格权值×100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本项目实际情况，编制服务方案，应包含：①供货保障方案；②日常管理组织方案；③物流配送方案；④退换货服务方案；⑤公司内控制度；⑥针对本项目的应急预案。方案各部分内容全面详细、阐述条理清晰详尽、符合本项目采购需求，能有效保障本项目实施的计30分，每有一个缺项扣5分，每有一项内容不完整或有缺陷或与项目不匹配的，扣2.5分，扣完为止。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服务方案（3）.docx</w:t>
            </w:r>
          </w:p>
          <w:p>
            <w:pPr>
              <w:pStyle w:val="null3"/>
            </w:pPr>
            <w:r>
              <w:rPr>
                <w:rFonts w:ascii="仿宋_GB2312" w:hAnsi="仿宋_GB2312" w:cs="仿宋_GB2312" w:eastAsia="仿宋_GB2312"/>
              </w:rPr>
              <w:t>供应商需补充的其他内容（3）.docx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根据本项目实际情况，编制质量保证方案，应包括①食材质量安全、卫生保证方案；②货物来源证明；③采购环节的质量控制方案；④加工包装保证运输等各环节的质量控制方案。 方案各部分内容全面详细、阐述条理清晰详尽、符合本项目采购需求，能有效保障本项目实施的计20分，每有一个缺项扣5分，每有一项内容不完整或有缺陷或与项目不匹配的，扣2.5分，扣完为止。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服务方案（3）.docx</w:t>
            </w:r>
          </w:p>
          <w:p>
            <w:pPr>
              <w:pStyle w:val="null3"/>
            </w:pPr>
            <w:r>
              <w:rPr>
                <w:rFonts w:ascii="仿宋_GB2312" w:hAnsi="仿宋_GB2312" w:cs="仿宋_GB2312" w:eastAsia="仿宋_GB2312"/>
              </w:rPr>
              <w:t>供应商需补充的其他内容（3）.docx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根据本项目要求，编制人员配备方案。①配备人员数量；②专业人员配置齐全；③人员安排分工明确。其中配送人员应提供在有效期内的健康证，司机应提供驾驶证、健康证等相关证明资料。 以上内容应团队组织计划合理、结构清晰，项目组成人员职责任务明确、人员数量和人员专业结构配备合理，根据提供上述每项内容的细致程度1-3分，本项目共计9分。未提供相关内容的不计分。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服务方案（3）.docx</w:t>
            </w:r>
          </w:p>
          <w:p>
            <w:pPr>
              <w:pStyle w:val="null3"/>
            </w:pPr>
            <w:r>
              <w:rPr>
                <w:rFonts w:ascii="仿宋_GB2312" w:hAnsi="仿宋_GB2312" w:cs="仿宋_GB2312" w:eastAsia="仿宋_GB2312"/>
              </w:rPr>
              <w:t>供应商需补充的其他内容（3）.docx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针对本项目特点，提供本项目服务承诺，应包含①货物质量承诺；②响应时间承诺；③退换货承诺；④服务过程中的人员到岗情况。 根据提供上述每项内容的细致程度1-2.5分，本项目共计10分。未提供相关内容的不计分。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服务方案（3）.docx</w:t>
            </w:r>
          </w:p>
          <w:p>
            <w:pPr>
              <w:pStyle w:val="null3"/>
            </w:pPr>
            <w:r>
              <w:rPr>
                <w:rFonts w:ascii="仿宋_GB2312" w:hAnsi="仿宋_GB2312" w:cs="仿宋_GB2312" w:eastAsia="仿宋_GB2312"/>
              </w:rPr>
              <w:t>供应商需补充的其他内容（3）.docx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针对本项目要求提供配送方案，包括但不限于：①食材调配方案、②配送流程、③配送管理、④配送车辆配备方案等。 1.配送方案清晰，内容全面，配置车辆完全满足采购要求的得（7-11]分； 2.配送方案不够清晰，内容不够全面，配置车辆基本满足采购要求的得（4-7]分； 3.配送方案不清晰，内容简单有缺项，不合理，配置车辆不能满足采购要求的得[0-4]分。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服务方案（3）.docx</w:t>
            </w:r>
          </w:p>
          <w:p>
            <w:pPr>
              <w:pStyle w:val="null3"/>
            </w:pPr>
            <w:r>
              <w:rPr>
                <w:rFonts w:ascii="仿宋_GB2312" w:hAnsi="仿宋_GB2312" w:cs="仿宋_GB2312" w:eastAsia="仿宋_GB2312"/>
              </w:rPr>
              <w:t>供应商需补充的其他内容（3）.docx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提供2022年5月至今类似业绩，提供一份得2分，最高得10分。 注：提供合同复印件加盖公章，合同签订时间及金额以合同中体现的内容为准。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业绩的相关证明材料（3）.docx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满足磋商文件要求且磋商下浮率最高的磋商报价为磋商基准价，其价格分为满分。其他供应商的价格下浮率分统一按照下列公式计算：磋商下浮率得分=（[（1-磋商基准价）/（1-最后磋商报价）]×价格权值×100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详见附件：供应商应提交的相关资格证明材料（1）.docx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详见附件：报价明细表（1）.docx</w:t>
      </w:r>
    </w:p>
    <w:p>
      <w:pPr>
        <w:pStyle w:val="null3"/>
        <w:ind w:firstLine="960"/>
      </w:pPr>
      <w:r>
        <w:rPr>
          <w:rFonts w:ascii="仿宋_GB2312" w:hAnsi="仿宋_GB2312" w:cs="仿宋_GB2312" w:eastAsia="仿宋_GB2312"/>
        </w:rPr>
        <w:t>详见附件：服务方案（1）.docx</w:t>
      </w:r>
    </w:p>
    <w:p>
      <w:pPr>
        <w:pStyle w:val="null3"/>
        <w:ind w:firstLine="960"/>
      </w:pPr>
      <w:r>
        <w:rPr>
          <w:rFonts w:ascii="仿宋_GB2312" w:hAnsi="仿宋_GB2312" w:cs="仿宋_GB2312" w:eastAsia="仿宋_GB2312"/>
        </w:rPr>
        <w:t>详见附件：业绩的相关证明材料（1）.docx</w:t>
      </w:r>
    </w:p>
    <w:p>
      <w:pPr>
        <w:pStyle w:val="null3"/>
        <w:ind w:firstLine="960"/>
      </w:pPr>
      <w:r>
        <w:rPr>
          <w:rFonts w:ascii="仿宋_GB2312" w:hAnsi="仿宋_GB2312" w:cs="仿宋_GB2312" w:eastAsia="仿宋_GB2312"/>
        </w:rPr>
        <w:t>详见附件：供应商需补充的其他内容（1）.docx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详见附件：供应商应提交的相关资格证明材料（2）.docx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详见附件：服务方案（2）.docx</w:t>
      </w:r>
    </w:p>
    <w:p>
      <w:pPr>
        <w:pStyle w:val="null3"/>
        <w:ind w:firstLine="960"/>
      </w:pPr>
      <w:r>
        <w:rPr>
          <w:rFonts w:ascii="仿宋_GB2312" w:hAnsi="仿宋_GB2312" w:cs="仿宋_GB2312" w:eastAsia="仿宋_GB2312"/>
        </w:rPr>
        <w:t>详见附件：业绩的相关证明材料（2）.docx</w:t>
      </w:r>
    </w:p>
    <w:p>
      <w:pPr>
        <w:pStyle w:val="null3"/>
        <w:ind w:firstLine="960"/>
      </w:pPr>
      <w:r>
        <w:rPr>
          <w:rFonts w:ascii="仿宋_GB2312" w:hAnsi="仿宋_GB2312" w:cs="仿宋_GB2312" w:eastAsia="仿宋_GB2312"/>
        </w:rPr>
        <w:t>详见附件：供应商需补充的其他内容（2）.docx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详见附件：供应商应提交的相关资格证明材料（3）.docx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详见附件：服务方案（3）.docx</w:t>
      </w:r>
    </w:p>
    <w:p>
      <w:pPr>
        <w:pStyle w:val="null3"/>
        <w:ind w:firstLine="960"/>
      </w:pPr>
      <w:r>
        <w:rPr>
          <w:rFonts w:ascii="仿宋_GB2312" w:hAnsi="仿宋_GB2312" w:cs="仿宋_GB2312" w:eastAsia="仿宋_GB2312"/>
        </w:rPr>
        <w:t>详见附件：业绩的相关证明材料（3）.docx</w:t>
      </w:r>
    </w:p>
    <w:p>
      <w:pPr>
        <w:pStyle w:val="null3"/>
        <w:ind w:firstLine="960"/>
      </w:pPr>
      <w:r>
        <w:rPr>
          <w:rFonts w:ascii="仿宋_GB2312" w:hAnsi="仿宋_GB2312" w:cs="仿宋_GB2312" w:eastAsia="仿宋_GB2312"/>
        </w:rPr>
        <w:t>详见附件：供应商需补充的其他内容（3）.docx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