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版本号：LZBD2025-76420250514001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综合楼更换窗户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LZBD2025-764</w:t>
      </w:r>
      <w:r>
        <w:br/>
      </w:r>
      <w:r>
        <w:br/>
      </w:r>
      <w:r>
        <w:br/>
      </w:r>
    </w:p>
    <w:p>
      <w:pPr>
        <w:pStyle w:val="null3"/>
        <w:jc w:val="center"/>
        <w:outlineLvl w:val="2"/>
      </w:pPr>
      <w:r>
        <w:rPr>
          <w:rFonts w:ascii="仿宋_GB2312" w:hAnsi="仿宋_GB2312" w:cs="仿宋_GB2312" w:eastAsia="仿宋_GB2312"/>
          <w:sz w:val="28"/>
          <w:b/>
        </w:rPr>
        <w:t>西安市第五十三中学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西安市第五十三中学</w:t>
      </w:r>
      <w:r>
        <w:rPr>
          <w:rFonts w:ascii="仿宋_GB2312" w:hAnsi="仿宋_GB2312" w:cs="仿宋_GB2312" w:eastAsia="仿宋_GB2312"/>
        </w:rPr>
        <w:t>委托，拟对</w:t>
      </w:r>
      <w:r>
        <w:rPr>
          <w:rFonts w:ascii="仿宋_GB2312" w:hAnsi="仿宋_GB2312" w:cs="仿宋_GB2312" w:eastAsia="仿宋_GB2312"/>
        </w:rPr>
        <w:t>综合楼更换窗户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LZBD2025-764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综合楼更换窗户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西安市第五十三中学综合楼更换窗户，具体要求详见采购清单。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采购包1（西安市第五十三中学综合楼更换窗户）：属于专门面向中小企业采购。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西安市第五十三中学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陕西省西安市雁塔区光华路182号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029-88211769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30201278016727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西安市第五十三中学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西安市第五十三中学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西安市第五十三中学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联系人：徐小宁、郑蕊、张波</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综合楼更换窗户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标的名称：综合楼更换窗户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个日历天（具体开工日期以收到采购人通知为准）。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质量标准：符合国家现行有关质量验收规范</w:t>
            </w:r>
            <w:r>
              <w:rPr>
                <w:rFonts w:ascii="仿宋_GB2312" w:hAnsi="仿宋_GB2312" w:cs="仿宋_GB2312" w:eastAsia="仿宋_GB2312"/>
                <w:sz w:val="21"/>
                <w:color w:val="000000"/>
              </w:rPr>
              <w:t>“</w:t>
            </w:r>
            <w:r>
              <w:rPr>
                <w:rFonts w:ascii="仿宋_GB2312" w:hAnsi="仿宋_GB2312" w:cs="仿宋_GB2312" w:eastAsia="仿宋_GB2312"/>
                <w:sz w:val="21"/>
                <w:color w:val="000000"/>
              </w:rPr>
              <w:t>合格</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全部工程完工后并经采购人验收合格，</w:t>
            </w:r>
            <w:r>
              <w:rPr>
                <w:rFonts w:ascii="仿宋_GB2312" w:hAnsi="仿宋_GB2312" w:cs="仿宋_GB2312" w:eastAsia="仿宋_GB2312"/>
                <w:sz w:val="21"/>
                <w:color w:val="000000"/>
              </w:rPr>
              <w:t>5</w:t>
            </w:r>
            <w:r>
              <w:rPr>
                <w:rFonts w:ascii="仿宋_GB2312" w:hAnsi="仿宋_GB2312" w:cs="仿宋_GB2312" w:eastAsia="仿宋_GB2312"/>
                <w:sz w:val="21"/>
                <w:color w:val="000000"/>
              </w:rPr>
              <w:t>日内支付合同总价款的</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U盘壹份）。若电子投标文件与纸质投标文件不一致的，以纸质投标文件为准；若正本和副本不符，以正本为准。 2、供应商务必在开标截止时间30分钟前，通过项目电子化交易系统进行签到，如未进行签到，产生的一切后果由供应商自行承担。 3、本项目专门面向中小企业采购（残疾人福 利性单位、监狱企业视同小型、微型企业）。4、采购标的对应的中小企业划分标准所属行业为建筑业。建筑业的划型标准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下或资产总额300万元以下的为微型企业。5、需要落实的政府采购政策：1）《国务院办公厅关于建立政府强制采购节能产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1.在磋商过程中，磋商小组认为供应商的报价明 显低于其他通过符合性审查供应商的报价，有 可能影响产品质量或者不能诚信履约的，磋商 小组应当要求其在评审现场合理的时间内提供 成本构成书面说明，并提交相关证明材料。书 面说明应当按照国家财务会计制度的规定要求 ，逐项就供应商提供的货物、工程和服务的主 营业务成本（应根据供应商企业类型予以区别 ）、税金及附加、销售费用、管理费用、财务 费用等成本构成事项详细陈述。 2.供应商提交 的相关证明材料，应当加盖供应商（法定名称 ）电子印章，在磋商小组要求的时间内通过项 目电子化交易系统进行提交，否则提交的相关 证明材料无效。供应商不能证明其报价合理性 的，磋商小组应当将其响应文件作为无效处理。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授权委托书.docx 技术服务合同条款及其他商务要求应答表 资格证明文件.docx 强制优先采购产品承诺函 响应文件封面 项目管理机构组成表 法定代表人（单位负责人自然人）身份证明.docx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安装施工组织方案</w:t>
            </w:r>
          </w:p>
        </w:tc>
        <w:tc>
          <w:tcPr>
            <w:tcW w:type="dxa" w:w="2492"/>
          </w:tcPr>
          <w:p>
            <w:pPr>
              <w:pStyle w:val="null3"/>
            </w:pPr>
            <w:r>
              <w:rPr>
                <w:rFonts w:ascii="仿宋_GB2312" w:hAnsi="仿宋_GB2312" w:cs="仿宋_GB2312" w:eastAsia="仿宋_GB2312"/>
              </w:rPr>
              <w:t>一、评审内容①安装施工组织结构及管理人员配备、机械设备配置；②施工人员配备、施工节点、工序配合措施；③安装、调试、验收措施；④半成品及成品保护措施；⑤安装质量保证措施；⑥进度计划表及工期保证措施；⑦安全文明施工措施；⑧施工难点；⑨风险防控措施。二、评审标准： 1、完整性：内容全面，对评审内容中的各项要求有详细描述； 2、可行性：切合本项目实际情况，提出步骤清晰的方案； 3、针对性：紧扣项目实际情况需求，内容切实合理。三、赋分标准：①安装施工组织结构及管理人员配备、机械设备配置：每完全满足一个评审标准得1分，满分3分；②施工人员配备、施工节点、工序配合措施：每完全满足一个评审标准得1分，满分3分；③安装、调试、验收措施：每完全满足一个评审标准得1分，满分3分；④半成品及成品保护措施：每完全满足一个评审标准得1分，满分3分；⑤安装质量保证措施：每完全满足一个评审标准得1分，满分3分；⑥进度计划表及工期保证措施：每完全满足一个评审标准得1分，满分3分；⑦安全文明施工措施：每完全满足一个评审标准得1分，满分3分；⑧施工难点：每完全满足一个评审标准得1分，满分3分；⑨风险防控措施：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提供投标产品货源渠道合法的证明文件，产品符合国家、行业标准及有关规定，确保产品性能稳定，得3分。其他得0分。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产品特性及技术相关资料</w:t>
            </w:r>
          </w:p>
        </w:tc>
        <w:tc>
          <w:tcPr>
            <w:tcW w:type="dxa" w:w="2492"/>
          </w:tcPr>
          <w:p>
            <w:pPr>
              <w:pStyle w:val="null3"/>
            </w:pPr>
            <w:r>
              <w:rPr>
                <w:rFonts w:ascii="仿宋_GB2312" w:hAnsi="仿宋_GB2312" w:cs="仿宋_GB2312" w:eastAsia="仿宋_GB2312"/>
              </w:rPr>
              <w:t>一、评审内容①产品主要性能指标；②产品检测报告、配置；③零部件品牌、产地、技术参数；④生产工艺及技术说明、检测报告。二、评审标准： 1、完整性：内容全面，对评审内容中的各项要求有详细描述； 2、可行性：切合本项目实际情况，提出步骤清晰的方案； 3、针对性：紧扣项目实际情况需求，内容切实合理。三、赋分标准：①产品主要性能指标：每完全满足一个评审标准得1分，满分3分；②产品检测报告、配置：每完全满足一个评审标准得1分，满分3分；③零部件品牌、产地、技术参数：每完全满足一个评审标准得1分，满分3分；④生产工艺及技术说明、检测报告：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一、评审内容①交货验收安排；②保证按时供货的进度计划表及措施；③运输装卸措施。二、评审标准： 1、完整性：内容全面，对评审内容中的各项要求有详细描述； 2、可行性：切合本项目实际情况，提出步骤清晰的方案； 3、针对性：紧扣项目实际情况需求，内容切实合理。三、赋分标准：①交货验收安排：每完全满足一个评审标准得1分，满分3分；②保证按时供货的进度计划表及措施：每完全满足一个评审标准得1分，满分3分；③运输装卸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一、评审内容①售后服务机构的配备；②售后服务方案；③售后服务承诺及保修期满后的维修服务措施、应急处理预案；④免费维保详细计划及人员培训方案。二、评审标准： 1、完整性：内容全面，对评审内容中的各项要求有详细描述； 2、可行性：切合本项目实际情况，提出步骤清晰的方案； 3、针对性：紧扣项目实际情况需求，内容切实合理。三、赋分标准：①售后服务机构的配备：每完全满足一个评审标准得1分，满分3分；②售后服务方案：每完全满足一个评审标准得1分，满分3分；③售后服务承诺及保修期满后的维修服务措施、应急处理预案：每完全满足一个评审标准得1分，满分3分；④免费维保详细计划及人员培训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