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版本号：JXDZ2025-ZCYT-051520250514001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雁塔区两中心一暂存点改造项目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JXDZ2025-ZCYT-0515</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陕西钜信达工程项目管理有限公司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雁塔区两中心一暂存点改造项目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JXDZ2025-ZCYT-0515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雁塔区两中心一暂存点改造项目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雁塔区“两中心一暂存点”（大件物品拆分中心、可回收物分拣中心，有毒有害暂存点）坐落于南三环与西沣路十字东北角，占地面积约 2200平方米，建筑面积 1300平方米。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采购包1（雁塔区两中心一暂存点改造）：属于专门面向中小企业采购。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1、法定代表人授权委托书：供应商应授权合法的人员参加投标全过程，其 中法定代表人直接参加投标的，须出具法人身 份证，并与营业执照上信息一致。法定代表人 授权代表参加投标的，须出具法定代表人授权 书及授权代表身份证。</w:t>
      </w:r>
    </w:p>
    <w:p>
      <w:pPr>
        <w:pStyle w:val="null3"/>
      </w:pPr>
      <w:r>
        <w:rPr>
          <w:rFonts w:ascii="仿宋_GB2312" w:hAnsi="仿宋_GB2312" w:cs="仿宋_GB2312" w:eastAsia="仿宋_GB2312"/>
        </w:rPr>
        <w:t>2、供应商资质：供应商具备建设行政主管部门核发的建筑工程施工总承包三级及以上资质，有效的安全生产许可证</w:t>
      </w:r>
    </w:p>
    <w:p>
      <w:pPr>
        <w:pStyle w:val="null3"/>
      </w:pPr>
      <w:r>
        <w:rPr>
          <w:rFonts w:ascii="仿宋_GB2312" w:hAnsi="仿宋_GB2312" w:cs="仿宋_GB2312" w:eastAsia="仿宋_GB2312"/>
        </w:rPr>
        <w:t>3、拟派项目负责人资质和专业要求：证书等级：二级及以上注册建造师资格 专业：建筑工程 补充说明：有效的安全生产考核合格证，且无在建工程项目</w:t>
      </w:r>
    </w:p>
    <w:p>
      <w:pPr>
        <w:pStyle w:val="null3"/>
      </w:pPr>
      <w:r>
        <w:rPr>
          <w:rFonts w:ascii="仿宋_GB2312" w:hAnsi="仿宋_GB2312" w:cs="仿宋_GB2312" w:eastAsia="仿宋_GB2312"/>
        </w:rPr>
        <w:t>4、不接受联合体投标：本项目不接受联合体投标，(投标主体为单一供应商，无需提供声明函)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陕西省西安市雁塔区东仪路171号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029-85239230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 111 号中京坊公寓 B 座 623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王春、田工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029-82292656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暂行办法》的通知（计价格〔2002〕1980号）和国家发展改革委关于进一步放开建设项目专业服务价格的通知（发改价格〔2015〕299号）的有关依据，以及《西安市深化政府采购制度改革实施方案》、《西安市财政局关于推进政府采购代理机构转型升级相关工作的通知》（市财函[2022]1299号）的相关要求收取。 缴纳方式：采用现金或转账方式缴纳（账号信息如下）。 账户名称: 陕西钜信达工程项目管理有限公司西安第一分公司 账号：129918351510001 开户行：招商银行股份有限公司西安西影路支行 转账事由： （项目简称或项目编号） 项目服务费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联系电话：029-82292656</w:t>
      </w:r>
    </w:p>
    <w:p>
      <w:pPr>
        <w:pStyle w:val="null3"/>
      </w:pPr>
      <w:r>
        <w:rPr>
          <w:rFonts w:ascii="仿宋_GB2312" w:hAnsi="仿宋_GB2312" w:cs="仿宋_GB2312" w:eastAsia="仿宋_GB2312"/>
        </w:rPr>
        <w:t>地址：西安市雁塔区雁翔路 111 号中京坊公寓 B 座 623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雁塔区两中心一暂存点改造项目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pPr>
            <w:r>
              <w:rPr>
                <w:rFonts w:ascii="仿宋_GB2312" w:hAnsi="仿宋_GB2312" w:cs="仿宋_GB2312" w:eastAsia="仿宋_GB2312"/>
              </w:rPr>
              <w:t>700000</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标的名称：雁塔区两中心一暂存点改造项目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rPr>
              <w:t>(一)</w:t>
            </w:r>
            <w:r>
              <w:rPr>
                <w:rFonts w:ascii="仿宋_GB2312" w:hAnsi="仿宋_GB2312" w:cs="仿宋_GB2312" w:eastAsia="仿宋_GB2312"/>
                <w:sz w:val="28"/>
              </w:rPr>
              <w:t>计价依据</w:t>
            </w:r>
            <w:r>
              <w:rPr>
                <w:rFonts w:ascii="仿宋_GB2312" w:hAnsi="仿宋_GB2312" w:cs="仿宋_GB2312" w:eastAsia="仿宋_GB2312"/>
                <w:sz w:val="28"/>
              </w:rPr>
              <w:t>:</w:t>
            </w:r>
          </w:p>
          <w:p>
            <w:pPr>
              <w:pStyle w:val="null3"/>
            </w:pPr>
            <w:r>
              <w:rPr>
                <w:rFonts w:ascii="仿宋_GB2312" w:hAnsi="仿宋_GB2312" w:cs="仿宋_GB2312" w:eastAsia="仿宋_GB2312"/>
                <w:sz w:val="28"/>
              </w:rPr>
              <w:t>1、《陕西省建设工程工程量清单计价规则》（2009）</w:t>
            </w:r>
          </w:p>
          <w:p>
            <w:pPr>
              <w:pStyle w:val="null3"/>
            </w:pPr>
            <w:r>
              <w:rPr>
                <w:rFonts w:ascii="仿宋_GB2312" w:hAnsi="仿宋_GB2312" w:cs="仿宋_GB2312" w:eastAsia="仿宋_GB2312"/>
                <w:sz w:val="28"/>
              </w:rPr>
              <w:t>2、《陕西省安装工程价目表》（2009）、《陕西省装饰工程价目表》（2009）、《陕西省市政工程价目表》（2009）、《陕西省园林绿化工程价目表》（2009）及其配套费率文件、配套消耗量定额及勘误和补充；</w:t>
            </w:r>
          </w:p>
          <w:p>
            <w:pPr>
              <w:pStyle w:val="null3"/>
            </w:pPr>
            <w:r>
              <w:rPr>
                <w:rFonts w:ascii="仿宋_GB2312" w:hAnsi="仿宋_GB2312" w:cs="仿宋_GB2312" w:eastAsia="仿宋_GB2312"/>
                <w:sz w:val="28"/>
              </w:rPr>
              <w:t>3、委托单位提供的设计图纸；</w:t>
            </w:r>
          </w:p>
          <w:p>
            <w:pPr>
              <w:pStyle w:val="null3"/>
            </w:pPr>
            <w:r>
              <w:rPr>
                <w:rFonts w:ascii="仿宋_GB2312" w:hAnsi="仿宋_GB2312" w:cs="仿宋_GB2312" w:eastAsia="仿宋_GB2312"/>
                <w:sz w:val="28"/>
              </w:rPr>
              <w:t>4、与建设工程项目有关的标准、规范、技术资料；</w:t>
            </w:r>
          </w:p>
          <w:p>
            <w:pPr>
              <w:pStyle w:val="null3"/>
            </w:pPr>
            <w:r>
              <w:rPr>
                <w:rFonts w:ascii="仿宋_GB2312" w:hAnsi="仿宋_GB2312" w:cs="仿宋_GB2312" w:eastAsia="仿宋_GB2312"/>
                <w:sz w:val="28"/>
              </w:rPr>
              <w:t>5、本预算人工费执行陕建〔2021〕1097号文件，建筑工程、安装工程按照136元/工日计入，装饰工程按照146元/工日计入；</w:t>
            </w:r>
          </w:p>
          <w:p>
            <w:pPr>
              <w:pStyle w:val="null3"/>
            </w:pPr>
            <w:r>
              <w:rPr>
                <w:rFonts w:ascii="仿宋_GB2312" w:hAnsi="仿宋_GB2312" w:cs="仿宋_GB2312" w:eastAsia="仿宋_GB2312"/>
                <w:sz w:val="28"/>
              </w:rPr>
              <w:t>6、本预算安全文明施工措施费执行陕建发〔2019〕1246号文件；</w:t>
            </w:r>
          </w:p>
          <w:p>
            <w:pPr>
              <w:pStyle w:val="null3"/>
            </w:pPr>
            <w:r>
              <w:rPr>
                <w:rFonts w:ascii="仿宋_GB2312" w:hAnsi="仿宋_GB2312" w:cs="仿宋_GB2312" w:eastAsia="仿宋_GB2312"/>
                <w:sz w:val="28"/>
              </w:rPr>
              <w:t>7、本预算税金执行陕建发〔2019〕45号文件；</w:t>
            </w:r>
          </w:p>
          <w:p>
            <w:pPr>
              <w:pStyle w:val="null3"/>
            </w:pPr>
            <w:r>
              <w:rPr>
                <w:rFonts w:ascii="仿宋_GB2312" w:hAnsi="仿宋_GB2312" w:cs="仿宋_GB2312" w:eastAsia="仿宋_GB2312"/>
                <w:sz w:val="28"/>
              </w:rPr>
              <w:t>8、本预算建筑施工安全生产责任保险执行陕建发〔2020〕1097号文件，其他规费按现行《计价规则》及配套计价文件计取；</w:t>
            </w:r>
          </w:p>
          <w:p>
            <w:pPr>
              <w:pStyle w:val="null3"/>
            </w:pPr>
            <w:r>
              <w:rPr>
                <w:rFonts w:ascii="仿宋_GB2312" w:hAnsi="仿宋_GB2312" w:cs="仿宋_GB2312" w:eastAsia="仿宋_GB2312"/>
                <w:sz w:val="28"/>
              </w:rPr>
              <w:t>9、本预算执行陕建发〔2021〕1021号文件不扣除劳保统筹；</w:t>
            </w:r>
          </w:p>
          <w:p>
            <w:pPr>
              <w:pStyle w:val="null3"/>
            </w:pPr>
            <w:r>
              <w:rPr>
                <w:rFonts w:ascii="仿宋_GB2312" w:hAnsi="仿宋_GB2312" w:cs="仿宋_GB2312" w:eastAsia="仿宋_GB2312"/>
                <w:sz w:val="28"/>
              </w:rPr>
              <w:t>10、工程量清单计价软件使用“广联达GCCP6.0（6.3000.23.122）；</w:t>
            </w:r>
          </w:p>
          <w:p>
            <w:pPr>
              <w:pStyle w:val="null3"/>
            </w:pPr>
            <w:r>
              <w:rPr>
                <w:rFonts w:ascii="仿宋_GB2312" w:hAnsi="仿宋_GB2312" w:cs="仿宋_GB2312" w:eastAsia="仿宋_GB2312"/>
                <w:sz w:val="28"/>
              </w:rPr>
              <w:t>11、本工程材料依据2025年3月《陕西省西安市建设工程信息价》、无信息价的材料参考当地市场价。</w:t>
            </w:r>
          </w:p>
          <w:p>
            <w:pPr>
              <w:pStyle w:val="null3"/>
            </w:pPr>
            <w:r>
              <w:rPr>
                <w:rFonts w:ascii="仿宋_GB2312" w:hAnsi="仿宋_GB2312" w:cs="仿宋_GB2312" w:eastAsia="仿宋_GB2312"/>
                <w:sz w:val="28"/>
              </w:rPr>
              <w:t>（二）施工要求：在施工期间，成交供应商必须注意院内人员安全</w:t>
            </w:r>
            <w:r>
              <w:rPr>
                <w:rFonts w:ascii="仿宋_GB2312" w:hAnsi="仿宋_GB2312" w:cs="仿宋_GB2312" w:eastAsia="仿宋_GB2312"/>
                <w:sz w:val="28"/>
              </w:rPr>
              <w:t>,加强安全措施，并对施工人员进行安全教育。施工人员必须持证上岗。因采购人工作的特殊性，要求成交供应商在施工中做到封闭性施工。</w:t>
            </w:r>
          </w:p>
          <w:p>
            <w:pPr>
              <w:pStyle w:val="null3"/>
              <w:jc w:val="both"/>
            </w:pPr>
            <w:r>
              <w:rPr>
                <w:rFonts w:ascii="仿宋_GB2312" w:hAnsi="仿宋_GB2312" w:cs="仿宋_GB2312" w:eastAsia="仿宋_GB2312"/>
                <w:sz w:val="28"/>
              </w:rPr>
              <w:t>（三）工程量清单明细详见附件。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提交一正二副，书籍（胶装）方式装订的盖章的纸质文件，若正本和副本不一致的，以正本为准。送至西安市雁塔区雁翔路 111 号中京坊公寓 B 座 623 室。（2）供应商务必在开标截止时间30分钟前，通过项目电子化交易系统进行签到，如未进行签到，产生的一切后果由供应商自行承担。 （3）供应商的磋商报价包括施工机械使用费、人工费、材料与设备费、维护费、其他（运杂费、质检费、安装费、缺陷修复费、保 险费，以及合同明示或暗示的 风险、责任和义务等），以及管理费、税金、利润、采购代理服务费等所有费用，并符合建设工程计价规则。（4）签名是指手写签名或者加盖名章，盖章是指加盖单位印章。（5）已标价工程量清单的扉页供应商如无注册或登记在本单位的造价人员，可只加盖公司公章或委托第三方造价咨询机构进行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提供书面承诺函。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落实政府采购政策资格审查</w:t>
            </w:r>
          </w:p>
        </w:tc>
        <w:tc>
          <w:tcPr>
            <w:tcW w:type="dxa" w:w="3322"/>
          </w:tcPr>
          <w:p>
            <w:pPr>
              <w:pStyle w:val="null3"/>
            </w:pPr>
            <w:r>
              <w:rPr>
                <w:rFonts w:ascii="仿宋_GB2312" w:hAnsi="仿宋_GB2312" w:cs="仿宋_GB2312" w:eastAsia="仿宋_GB2312"/>
              </w:rPr>
              <w:t>（1）《政府采购促进中小企业发展管理办法》（财库〔2020〕46号）；（2）《关于进一步加大政府采购支持中小企业力度的通知》（财库〔2022〕19号；（3）《陕西省财政厅关于进一步加大政府采购支持中小企业力度的通知》（陕财办采〔2022〕5号）；（4）《财政部 司法部关于政府采购支持监狱企业发展有关问题的通知》（财库〔2014〕68号）；（5）《三部门联合发布关于促进残疾人就业政府采购政策的通知》（财库〔2017〕141号）；（6）《国务院办公厅关于建立政府强制采购节能产品制度的通知》（国发办〔2007〕51号）；（7）《财政部 发展改革委 生态环境部 市场监管总局关于调整优化节能产品、环境标志产品政府采购执行机制的通知》（财库〔2019〕9号）；（8）《关于运用政府采购政策支持乡村产业振兴的通知》（财库〔2021〕19 号）；（9）《财政部农业农村部国家 乡村振兴局 中华全国供销合作总社关于印发&lt;关于深入开展政府采购脱贫地区农副产品工作推进乡村产业振兴的实施意见&gt;的通知》（财库〔2021〕20号）；（10）《陕西省财政厅关于进一步加强政府绿色采购有关问题的通知》（陕财办采〔2021〕29号）；（11）《财政部关于在政府采购活动中落实平等对待内外资企业有关政策的通知》（财库〔2021〕35号）；（12）陕西省财政厅关于印发《陕西省中小企业政府采购信用融资办法》（陕财办采〔2018〕23号）；（13）陕西省财政厅《关于加快推进我省中小企业政府采购信用融资工作的通知》（陕财办采〔2020〕15号）；（14）其他需执行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 中法定代表人直接参加投标的，须出具法人身 份证，并与营业执照上信息一致。法定代表人 授权代表参加投标的，须出具法定代表人授权 书及授权代表身份证。</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供应商具备建设行政主管部门核发的建筑工程施工总承包三级及以上资质，有效的安全生产许可证</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证书等级：二级及以上注册建造师资格 专业：建筑工程 补充说明：有效的安全生产考核合格证，且无在建工程项目</w:t>
            </w:r>
          </w:p>
        </w:tc>
        <w:tc>
          <w:tcPr>
            <w:tcW w:type="dxa" w:w="1661"/>
          </w:tcPr>
          <w:p>
            <w:pPr>
              <w:pStyle w:val="null3"/>
            </w:pPr>
            <w:r>
              <w:rPr>
                <w:rFonts w:ascii="仿宋_GB2312" w:hAnsi="仿宋_GB2312" w:cs="仿宋_GB2312" w:eastAsia="仿宋_GB2312"/>
              </w:rPr>
              <w:t>项目管理机构组成表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本项目不接受联合体投标，(投标主体为单一供应商，无需提供声明函)</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供应商名称与获取竞争性磋商文件登记的单位名称一致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强制优先采购产品承诺函 响应方案.docx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施工方案[方案总体思路清晰、合理、可操作性强、可执行程度强，且能很 好推 动项目实施得12分；方案总体思路基本明确、基本满足各项要求得 8 分；方案思 路模糊、不具有可操作性、合理性欠缺得4分；未提供不得分。]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 得7 分；思路基本清晰合理，内容不够具体详实得3分；未提供不得分。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确保环境保护措施及文明施工措施</w:t>
            </w:r>
          </w:p>
        </w:tc>
        <w:tc>
          <w:tcPr>
            <w:tcW w:type="dxa" w:w="2492"/>
          </w:tcPr>
          <w:p>
            <w:pPr>
              <w:pStyle w:val="null3"/>
            </w:pPr>
            <w:r>
              <w:rPr>
                <w:rFonts w:ascii="仿宋_GB2312" w:hAnsi="仿宋_GB2312" w:cs="仿宋_GB2312" w:eastAsia="仿宋_GB2312"/>
              </w:rPr>
              <w:t>确保环境保护措施及文明施工措施，措施内容科学可行，有针对性且内容丰富得 7分；措施内容描述不完整或内容简单得3分；未提供不得分。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确保安全生产和文明施工的技术组织措施，措施内容详细完善、科学且有针 对性 得7分；措施内容基本完善、合理、针对性欠缺的得3分；未提供不得分。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确保工期的技术组织措施，措施内容完善、具体合理得7分；措施内容简单 、考 虑不全面的得3分；未提供不得分。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项目拟派人员</w:t>
            </w:r>
          </w:p>
        </w:tc>
        <w:tc>
          <w:tcPr>
            <w:tcW w:type="dxa" w:w="2492"/>
          </w:tcPr>
          <w:p>
            <w:pPr>
              <w:pStyle w:val="null3"/>
            </w:pPr>
            <w:r>
              <w:rPr>
                <w:rFonts w:ascii="仿宋_GB2312" w:hAnsi="仿宋_GB2312" w:cs="仿宋_GB2312" w:eastAsia="仿宋_GB2312"/>
              </w:rPr>
              <w:t>项目拟派人员组织机构合理，且配备有相关专业的技术人员，人员配备基本满足 施工要求得10分；人员配备不足的得5分；未提供不得分。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设备配备 根据各供应商单位对本项目配置的施工机械及工器具的配备情况 ，机 械、设备工具数量及条件搭配合理。 配备合理完全满足需求得9分；配备较合理 得6分；配置不全得3分；未提供不得分。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应急保障措施的可行性</w:t>
            </w:r>
          </w:p>
        </w:tc>
        <w:tc>
          <w:tcPr>
            <w:tcW w:type="dxa" w:w="2492"/>
          </w:tcPr>
          <w:p>
            <w:pPr>
              <w:pStyle w:val="null3"/>
            </w:pPr>
            <w:r>
              <w:rPr>
                <w:rFonts w:ascii="仿宋_GB2312" w:hAnsi="仿宋_GB2312" w:cs="仿宋_GB2312" w:eastAsia="仿宋_GB2312"/>
              </w:rPr>
              <w:t>根据供应商针对突发事件应急保障措施的可行性（包含恶劣天气影响、自然 灾害 等特殊情况制定应急处置方案等）。 应急保障措施详尽、全面、有效 、合理， 可实施性强，得6分； 应急保障措施有效、合理，具有一定实施性 ，得3分；未 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项目完工后的维修服务及保修承诺</w:t>
            </w:r>
          </w:p>
        </w:tc>
        <w:tc>
          <w:tcPr>
            <w:tcW w:type="dxa" w:w="2492"/>
          </w:tcPr>
          <w:p>
            <w:pPr>
              <w:pStyle w:val="null3"/>
            </w:pPr>
            <w:r>
              <w:rPr>
                <w:rFonts w:ascii="仿宋_GB2312" w:hAnsi="仿宋_GB2312" w:cs="仿宋_GB2312" w:eastAsia="仿宋_GB2312"/>
              </w:rPr>
              <w:t>项目完工后的维修服务及保修承诺：全面、可行、完善得10分；服务及承诺较详 细，相关工作基本落实得7分；服务及承诺粗略简单、无针对性得3分；未提供不 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供应商单位提供自2022年1月1日以来（以合同签订时间为准）类似建筑工程项目业绩，每提供1份得2分，满分10分。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经资格评审、符合性评审均合格的响应文件，其响应报价为有效的磋商报价 。 评标基准价：即满足磋商文件要求且磋商报价最低的响应报价为 评标基 准价。 其他供应商的价格分统一按照下列公式计算 磋商报价得分=（磋商 基准价/最终 磋商报价）×15%（价格权重）×100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详见附件：采购合同范文.docx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