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版本号：SXZY-2025-ZC-112420250516001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2025年度雁塔区城市家具格栅维护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SXZY-2025-ZC-1124</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2025年度雁塔区城市家具格栅维护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2025年度雁塔区城市家具格栅维护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雁塔区全区约2500㎡的通讯电力箱格栅（格栏）进行修缮和巡查管护，按照实际损坏或丢失情况，已损坏或丢失的箱柜格栅（格栏）部位（侧板、顶板、背板、锁具、链接等部位）进行修缮或更换；修补结构构选材应选用金属、塑木等与原有格栅（格栏）匹配；修缮完成后，焊接部分平整，经喷塑防腐处理，外形规整，安装牢靠，颜色和原颜色一致，整体美观大方，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采购包1（2025年度雁塔区城市家具格栅维护）：属于专门面向小微企业采购。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8、非联合体磋商声明：提交非联合体形式参加本项目磋商的声明函。供应商需在项目电子化交易系统中按要求上传相应证明文件并进行电子签章。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13891896911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强制性标准要求。（1）服务商应根据修缮服务方案规范进行服务工作，采购人在服务过程中起到配合、监督及管理的作用；（2）维修效果：修缮完成后，焊接部分平整，经喷塑防腐处理，外形规整，安装牢靠，颜色和原颜色一致，整体美观大方。（3）在修缮服务期内，如果发现服务内容、服务质量等存在与合同中任何一项不符，服务商应按采购人要求进行再次修缮，直到符合要求；（4）维修（包括新安装）的格栅（格栏）的质保期为365天，要求完好率100%；（5）服务完成后，由甲乙双方共同验收，并填写书面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雁塔区全区约2500㎡的通讯电力箱格栅（格栏）进行修缮和巡查管护，按照实际损坏或丢失情况，已损坏或丢失的箱柜格栅（格栏）部位（侧板、顶板、背板、锁具、链接等部位）进行修缮或更换；修补结构构选材应选用金属、塑木等与原有格栅（格栏）匹配；修缮完成后，焊接部分平整，经喷塑防腐处理，外形规整，安装牢靠，颜色和原颜色一致，整体美观大方，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城市家具维护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标的名称：城市家具维护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服务内容</w:t>
            </w:r>
          </w:p>
          <w:p>
            <w:pPr>
              <w:pStyle w:val="null3"/>
              <w:jc w:val="both"/>
            </w:pPr>
            <w:r>
              <w:rPr>
                <w:rFonts w:ascii="仿宋_GB2312" w:hAnsi="仿宋_GB2312" w:cs="仿宋_GB2312" w:eastAsia="仿宋_GB2312"/>
              </w:rPr>
              <w:t>对雁塔区全区约2500㎡的通讯电力箱格栅（格栏）进行修缮和巡查管护，按照实际损坏或丢失情况，已损坏或丢失的箱柜格栅（格栏）部位（侧板、顶板、背板、锁具、链接等部位）进行修缮或更换；修补结构构选材应选用金属、塑木等与原有格栅（格栏）匹配；修缮完成后，焊接部分平整，经喷塑防腐处理，外形规整，安装牢靠，颜色和原颜色一致，整体美观大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成果交付</w:t>
            </w:r>
          </w:p>
          <w:p>
            <w:pPr>
              <w:pStyle w:val="null3"/>
              <w:spacing w:after="195"/>
            </w:pPr>
            <w:r>
              <w:rPr>
                <w:rFonts w:ascii="仿宋_GB2312" w:hAnsi="仿宋_GB2312" w:cs="仿宋_GB2312" w:eastAsia="仿宋_GB2312"/>
              </w:rPr>
              <w:t>（1）服务商应根据修缮服务方案规范进行服务工作，采购人在服务过程中起到配合、监督及管理的作用；</w:t>
            </w:r>
          </w:p>
          <w:p>
            <w:pPr>
              <w:pStyle w:val="null3"/>
              <w:spacing w:after="195"/>
            </w:pPr>
            <w:r>
              <w:rPr>
                <w:rFonts w:ascii="仿宋_GB2312" w:hAnsi="仿宋_GB2312" w:cs="仿宋_GB2312" w:eastAsia="仿宋_GB2312"/>
              </w:rPr>
              <w:t>（2）维修效果：修缮完成后，焊接部分平整，经喷塑防腐处理，外形规整，安装牢靠，颜色和原颜色一致，整体美观大方。</w:t>
            </w:r>
          </w:p>
          <w:p>
            <w:pPr>
              <w:pStyle w:val="null3"/>
              <w:spacing w:after="195"/>
            </w:pPr>
            <w:r>
              <w:drawing>
                <wp:inline distT="0" distR="0" distB="0" distL="0">
                  <wp:extent cx="1621155" cy="102536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25361"/>
                          </a:xfrm>
                          <a:prstGeom prst="rect">
                            <a:avLst/>
                          </a:prstGeom>
                        </pic:spPr>
                      </pic:pic>
                    </a:graphicData>
                  </a:graphic>
                </wp:inline>
              </w:drawing>
            </w:r>
            <w:r>
              <w:rPr>
                <w:rFonts w:ascii="仿宋_GB2312" w:hAnsi="仿宋_GB2312" w:cs="仿宋_GB2312" w:eastAsia="仿宋_GB2312"/>
              </w:rPr>
              <w:t>（电力通讯箱柜格栅效果参照图）</w:t>
            </w:r>
          </w:p>
          <w:p>
            <w:pPr>
              <w:pStyle w:val="null3"/>
              <w:spacing w:after="195"/>
            </w:pPr>
            <w:r>
              <w:rPr>
                <w:rFonts w:ascii="仿宋_GB2312" w:hAnsi="仿宋_GB2312" w:cs="仿宋_GB2312" w:eastAsia="仿宋_GB2312"/>
              </w:rPr>
              <w:t>（3）在修缮服务期内，如果发现服务内容、服务质量等存在与合同中任何一项不符，服务商应按采购人要求进行再次修缮，直到符合要求；</w:t>
            </w:r>
          </w:p>
          <w:p>
            <w:pPr>
              <w:pStyle w:val="null3"/>
              <w:spacing w:after="195"/>
            </w:pPr>
            <w:r>
              <w:rPr>
                <w:rFonts w:ascii="仿宋_GB2312" w:hAnsi="仿宋_GB2312" w:cs="仿宋_GB2312" w:eastAsia="仿宋_GB2312"/>
              </w:rPr>
              <w:t>（4）维修（包括新安装）的格栅（格栏）的质保期为365天，要求完好率100%；</w:t>
            </w:r>
          </w:p>
          <w:p>
            <w:pPr>
              <w:pStyle w:val="null3"/>
              <w:jc w:val="both"/>
            </w:pPr>
            <w:r>
              <w:rPr>
                <w:rFonts w:ascii="仿宋_GB2312" w:hAnsi="仿宋_GB2312" w:cs="仿宋_GB2312" w:eastAsia="仿宋_GB2312"/>
              </w:rPr>
              <w:t>（5）服务完成后，由甲乙双方共同验收，并填写书面验收单。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技术要求</w:t>
            </w:r>
          </w:p>
          <w:p>
            <w:pPr>
              <w:pStyle w:val="null3"/>
              <w:spacing w:after="195"/>
            </w:pPr>
            <w:r>
              <w:rPr>
                <w:rFonts w:ascii="仿宋_GB2312" w:hAnsi="仿宋_GB2312" w:cs="仿宋_GB2312" w:eastAsia="仿宋_GB2312"/>
              </w:rPr>
              <w:t>（1）采取可靠的修缮措施和防护措施保证修缮区域的安全。</w:t>
            </w:r>
          </w:p>
          <w:p>
            <w:pPr>
              <w:pStyle w:val="null3"/>
              <w:spacing w:after="195"/>
            </w:pPr>
            <w:r>
              <w:rPr>
                <w:rFonts w:ascii="仿宋_GB2312" w:hAnsi="仿宋_GB2312" w:cs="仿宋_GB2312" w:eastAsia="仿宋_GB2312"/>
              </w:rPr>
              <w:t>（2）选用的材料（金属、塑木等）必须符合国家相关规范并能满足实际使用功能，不达标材料应禁止使用；塑木条规格3.0*3.0cm，型材间隙：3.0cm，紧固件：金属材质的L型、T型角码固定，整体要求防火、抗腐蚀、耐酸碱，稳固、耐用；，如出现因材质不符合、尺寸测量错误等原因造成修缮质量不达标，后果由服务商自负。</w:t>
            </w:r>
          </w:p>
          <w:p>
            <w:pPr>
              <w:pStyle w:val="null3"/>
              <w:spacing w:after="195"/>
            </w:pPr>
            <w:r>
              <w:rPr>
                <w:rFonts w:ascii="仿宋_GB2312" w:hAnsi="仿宋_GB2312" w:cs="仿宋_GB2312" w:eastAsia="仿宋_GB2312"/>
              </w:rPr>
              <w:t>（3）格栅（格栏）修补后应达到安全性能良好，焊缝饱满牢固，焊接处均匀、细腻、焊缝打磨良好，栅栏整体抛光打磨，经喷塑防腐处理，表面平整光滑，颜色与原有格栅（格栏）颜色一致；</w:t>
            </w:r>
          </w:p>
          <w:p>
            <w:pPr>
              <w:pStyle w:val="null3"/>
              <w:spacing w:after="195"/>
            </w:pPr>
            <w:r>
              <w:rPr>
                <w:rFonts w:ascii="仿宋_GB2312" w:hAnsi="仿宋_GB2312" w:cs="仿宋_GB2312" w:eastAsia="仿宋_GB2312"/>
              </w:rPr>
              <w:t>（4）修缮过程产生的垃圾及时外运，现场材料运至指定地点堆放整齐；修缮材料、设备等堆放整齐，不需要的材料和设备应及时周转运走，不要影响市容和道路畅通；</w:t>
            </w:r>
          </w:p>
          <w:p>
            <w:pPr>
              <w:pStyle w:val="null3"/>
              <w:spacing w:after="195"/>
            </w:pPr>
            <w:r>
              <w:rPr>
                <w:rFonts w:ascii="仿宋_GB2312" w:hAnsi="仿宋_GB2312" w:cs="仿宋_GB2312" w:eastAsia="仿宋_GB2312"/>
              </w:rPr>
              <w:t>（5）整体修缮过程应注意现场保护、减少破坏，施工区域周围设施安全隔离墩，注重安全、文明；</w:t>
            </w:r>
          </w:p>
          <w:p>
            <w:pPr>
              <w:pStyle w:val="null3"/>
              <w:jc w:val="both"/>
            </w:pPr>
            <w:r>
              <w:rPr>
                <w:rFonts w:ascii="仿宋_GB2312" w:hAnsi="仿宋_GB2312" w:cs="仿宋_GB2312" w:eastAsia="仿宋_GB2312"/>
              </w:rPr>
              <w:t>（6）每日统计当天修缮情况，注明故障原因、维修内容、修复时间及更换的备品备件情况等记录汇总，并拍图留档，报送采购人。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服务要求</w:t>
            </w:r>
          </w:p>
          <w:p>
            <w:pPr>
              <w:pStyle w:val="null3"/>
              <w:spacing w:after="195"/>
            </w:pPr>
            <w:r>
              <w:rPr>
                <w:rFonts w:ascii="仿宋_GB2312" w:hAnsi="仿宋_GB2312" w:cs="仿宋_GB2312" w:eastAsia="仿宋_GB2312"/>
              </w:rPr>
              <w:t>（1）现场具备服务条件，辅助材料、辅助设备、服务商案等全部由服务商自行制定、本项目实行包组织、包服务；</w:t>
            </w:r>
          </w:p>
          <w:p>
            <w:pPr>
              <w:pStyle w:val="null3"/>
              <w:spacing w:after="195"/>
            </w:pPr>
            <w:r>
              <w:rPr>
                <w:rFonts w:ascii="仿宋_GB2312" w:hAnsi="仿宋_GB2312" w:cs="仿宋_GB2312" w:eastAsia="仿宋_GB2312"/>
              </w:rPr>
              <w:t>（2）服务商需根据服务实际情况编制服务商案，服务计划、服务进度安排等方案措施；</w:t>
            </w:r>
          </w:p>
          <w:p>
            <w:pPr>
              <w:pStyle w:val="null3"/>
              <w:spacing w:after="195"/>
            </w:pPr>
            <w:r>
              <w:rPr>
                <w:rFonts w:ascii="仿宋_GB2312" w:hAnsi="仿宋_GB2312" w:cs="仿宋_GB2312" w:eastAsia="仿宋_GB2312"/>
              </w:rPr>
              <w:t>（3）服务商在本服务项目中的负责人，要求技术水平高、组织能力强、有丰富的实践经验，懂管理、善于协调。服务人员中的组织人员、技术人员、监管人员、辅助人员等要求有服务经验或持证上岗；服务队伍稳定，保证整个项目顺利完成，服务商未经采购人同意，不得擅自更换本项目在响应文件中指定的负责人及服务队伍；</w:t>
            </w:r>
          </w:p>
          <w:p>
            <w:pPr>
              <w:pStyle w:val="null3"/>
              <w:spacing w:after="195"/>
            </w:pPr>
            <w:r>
              <w:rPr>
                <w:rFonts w:ascii="仿宋_GB2312" w:hAnsi="仿宋_GB2312" w:cs="仿宋_GB2312" w:eastAsia="仿宋_GB2312"/>
              </w:rPr>
              <w:t>（4）服务商的主要负责人是服务安全第一责任人，服务商应建立健全安全生产责任制度和安全教育培训、安全生产检查和安全生产操作规程等各项规章制度；设立服务安全管理机构，配备专职安全员；向服务作业人员提供符合相关标准的劳动安全防护用品；</w:t>
            </w:r>
          </w:p>
          <w:p>
            <w:pPr>
              <w:pStyle w:val="null3"/>
              <w:spacing w:after="195"/>
            </w:pPr>
            <w:r>
              <w:rPr>
                <w:rFonts w:ascii="仿宋_GB2312" w:hAnsi="仿宋_GB2312" w:cs="仿宋_GB2312" w:eastAsia="仿宋_GB2312"/>
              </w:rPr>
              <w:t>（5）服务过程中，服务商应严格遵守各种管理规定及规章制度，整体修缮过程应注意现场保护、减少破坏，施工区域周围隔离墩、防护栏、数目等公共设施，注重安全、文明；</w:t>
            </w:r>
          </w:p>
          <w:p>
            <w:pPr>
              <w:pStyle w:val="null3"/>
              <w:spacing w:after="195"/>
            </w:pPr>
            <w:r>
              <w:rPr>
                <w:rFonts w:ascii="仿宋_GB2312" w:hAnsi="仿宋_GB2312" w:cs="仿宋_GB2312" w:eastAsia="仿宋_GB2312"/>
              </w:rPr>
              <w:t>（6）上路巡查发现小的问题现场维修处理，发现有严重变形的，拆回固定维修地点修整以后，再安装，如果损坏严重，无法修复的，更换与原外形、颜色一致的通讯电力箱格栅，不另外计费；</w:t>
            </w:r>
          </w:p>
          <w:p>
            <w:pPr>
              <w:pStyle w:val="null3"/>
              <w:spacing w:after="195"/>
            </w:pPr>
            <w:r>
              <w:rPr>
                <w:rFonts w:ascii="仿宋_GB2312" w:hAnsi="仿宋_GB2312" w:cs="仿宋_GB2312" w:eastAsia="仿宋_GB2312"/>
              </w:rPr>
              <w:t>（7）服务过程中必须按照国家、省、市（行业）相关标准要求，服务商根据服务特点和周边管线管网、相邻建筑物等制定专项服务方案；涉及煤气管道、高压电线以及特殊结构电力通讯箱柜格栅（或侧板、顶板、背板等），修缮单位可根据实际情况提出修缮方案，并以书面形式递交采购方，经采购方同意后，方可实施；</w:t>
            </w:r>
          </w:p>
          <w:p>
            <w:pPr>
              <w:pStyle w:val="null3"/>
              <w:spacing w:after="195"/>
            </w:pPr>
            <w:r>
              <w:rPr>
                <w:rFonts w:ascii="仿宋_GB2312" w:hAnsi="仿宋_GB2312" w:cs="仿宋_GB2312" w:eastAsia="仿宋_GB2312"/>
              </w:rPr>
              <w:t>（8）严格按照国家、陕西省有关规定及采购人要求进行服务，不得随意更改或者变换服务内容，每项服务内容实施前应事先取得采购人的落实后方可实施；</w:t>
            </w:r>
          </w:p>
          <w:p>
            <w:pPr>
              <w:pStyle w:val="null3"/>
              <w:spacing w:after="195"/>
            </w:pPr>
            <w:r>
              <w:rPr>
                <w:rFonts w:ascii="仿宋_GB2312" w:hAnsi="仿宋_GB2312" w:cs="仿宋_GB2312" w:eastAsia="仿宋_GB2312"/>
              </w:rPr>
              <w:t>（9）服务商应认真按照标准、规范的要求以及采购文件要求，随时接受采购方的检查检验，并为检查检验提供便利条件；</w:t>
            </w:r>
          </w:p>
          <w:p>
            <w:pPr>
              <w:pStyle w:val="null3"/>
              <w:jc w:val="both"/>
            </w:pPr>
            <w:r>
              <w:rPr>
                <w:rFonts w:ascii="仿宋_GB2312" w:hAnsi="仿宋_GB2312" w:cs="仿宋_GB2312" w:eastAsia="仿宋_GB2312"/>
              </w:rPr>
              <w:t>（10）服务商在服务过程中使用或参考上述标准、规范以外的技术标准、规范时，应征得采购人同意。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质量要求</w:t>
            </w:r>
          </w:p>
          <w:p>
            <w:pPr>
              <w:pStyle w:val="null3"/>
              <w:jc w:val="both"/>
            </w:pPr>
            <w:r>
              <w:rPr>
                <w:rFonts w:ascii="仿宋_GB2312" w:hAnsi="仿宋_GB2312" w:cs="仿宋_GB2312" w:eastAsia="仿宋_GB2312"/>
              </w:rPr>
              <w:t>合格</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b/>
              </w:rPr>
              <w:t>服务费用结算</w:t>
            </w:r>
          </w:p>
          <w:p>
            <w:pPr>
              <w:pStyle w:val="null3"/>
              <w:jc w:val="both"/>
            </w:pPr>
            <w:r>
              <w:rPr>
                <w:rFonts w:ascii="仿宋_GB2312" w:hAnsi="仿宋_GB2312" w:cs="仿宋_GB2312" w:eastAsia="仿宋_GB2312"/>
              </w:rPr>
              <w:t>采购人根据实际服务数量据实结算服务费，即结算服务费=实际服务量*服务商最终总报价/暂定面积（2500㎡），本项目采购预算作为最终合同执行的依据，最终结算价款不超过本项目的采购预算。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按项目服务要求及特性，自行组织项目实施与管理，建立以项目负责人为核心的服务团队（专业的维修人员不少于4名，管理人员1名），实行项目负责人责任制，维修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服务商根据项目特性，自行配置投入有利于完成本项目服务各类设施设备（专业维修车辆，发电机、电焊机、空压机、辅助设备、工具等）。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满足项目所需其它要求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自合同签订之日起25个日历日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强制性标准；（1）服务商应根据修缮服务方案规范进行服务工作，采购人在服务过程中起到配合、监督及管理的作用；（2）维修效果：修缮完成后，焊接部分平整，经喷塑防腐处理，外形规整，安装牢靠，颜色和原颜色一致，整体美观大方。（3）在修缮服务期内，如果发现服务内容、服务质量等存在与合同中任何一项不符，服务商应按采购人要求进行再次修缮，直到符合要求；（4）维修（包括新安装）的格栅（格栏）的质保期为365天，要求完好率100%；（5）服务完成后，由甲乙双方共同验收，并填写书面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合同签约生效后，服务方开始服务，服务商应开具与付款金额一致的正式发票给采购人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服务期满，所有服务完成，经验收合格，结算审计完成后，服务商应开具与付款金额一致的正式发票给采购人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（1）甲乙双方必须遵守本合同并执行合同中的各项规定，保证本合同的正常履行；（2）如因乙方工作人员在履行职务过程中的疏忽、失职、过错等故意或者过失原因 给甲方、乙方或第三方造成财产损失或人身损害的，乙方对此应承担全部的赔偿责任。 如导致甲方承担责任或给甲方造成损失的，甲方有权向乙方进行追偿；（3）甲、乙双方任何一方违反本合同约定，应承担违约责任，双方约定违约金为本 合同总价格的 5%。本合同另有约定的除外；（4）若乙方未按本合同约定履行任意合同义务的，乙方应无条件在甲方要求的期限 内整改，若乙方未按期整改或整改后履行仍不符合合同约定或甲方要求的，甲方有权单 方解除本协议，乙方应按合同总价的 5%向甲方支付违约金，违约金不足以赔偿甲方损失 的，由乙方另行承担相应费用；（5）本合同所述乙方向甲方承担的损失赔偿等违约责任，包括但不限于赔偿金、诉讼费、差旅费、保全费、保函费、律师费等。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1、供应商所报的价格应考虑到可能发生的所有与完成本项目相关服务及履行合同义务有关的一切费用，包括后期验收和审计所产生的相关费用，任何有选择的报价将不予接受，按无效磋商处理。 2、本项目所属行业为：其他未列明行业。根据《工业和信息化部、国家统计局、国家发展和改革委员会、财政部关于印发中小企业划型标准规定的通知》《工信部联企业(2011)300 号)规定的划分标准,从业人员300人以下的为中小微型企业。其中，从业人员100人及以上的为中型企业；从业人员10人及以上的为小型企业；从业人员10人以下的为微型企业。 3、成交供应商在领取成交通知书前，需向采购代理机构提交加盖公章的纸质版响应文件三套，成交供应商应保持响应文件纸质版内容与系统上传内容完全一致，否则将承担一切法律责任。4、服务范围：2025年度雁塔区城市家具格栅维护。5、服务标准：符合国家（行业）强制性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 商务响应偏离表 费用明细表 中小企业声明函 残疾人福利性单位声明函 资格证明材料 标的清单 报价表 供应商承诺书 响应函 监狱企业的证明文件 合同条款响应偏离表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针对本项目有总体服务方案。包括但不限于修缮更换工艺、服务流程等。 方案内容详细、合理、可行性强，得10分； 方案内容较为详细与合理，可行性较强，得8分； 方案内容不详细，可行性较差，得6分； 方案内容简单，合理性、可行性差，得3分；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结合本项目服务期制定项目进度计划，确保项目能按时按质完成。 进度计划内容详细、合理，各环节衔接紧凑，可行性强，得10分； 进度计划内容较为详细与合理，各环节衔接较紧凑，可执行性较强，得8分； 进度计划内容不详细，合理性、可行性较差，得6分； 进度计划内容简单，合理性、可行性差，得3分； 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巡查管护方案</w:t>
            </w:r>
          </w:p>
        </w:tc>
        <w:tc>
          <w:tcPr>
            <w:tcW w:type="dxa" w:w="2492"/>
          </w:tcPr>
          <w:p>
            <w:pPr>
              <w:pStyle w:val="null3"/>
            </w:pPr>
            <w:r>
              <w:rPr>
                <w:rFonts w:ascii="仿宋_GB2312" w:hAnsi="仿宋_GB2312" w:cs="仿宋_GB2312" w:eastAsia="仿宋_GB2312"/>
              </w:rPr>
              <w:t>结合本项目特点制定巡查管护方案，确保项目能按时按质完成。 方案内容详细、合理、可行性强，得10分； 方案内容较为详细与合理，可行性较强，得8分； 方案内容不详细，可行性较差，得6分； 方案内容简单，合理性、可行性差，得3分；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针对本项目服务内容，有完善的服务质量保障措施。 保障措施内容详细、合理、可行性强，得10分； 保障措施内容较为详细与合理，可行性较强，得8分； 保障措施内容不详细，可行性较差，得6分； 保障措施内容简单，合理性、可行性差，得3分；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拟派团队人员</w:t>
            </w:r>
          </w:p>
        </w:tc>
        <w:tc>
          <w:tcPr>
            <w:tcW w:type="dxa" w:w="2492"/>
          </w:tcPr>
          <w:p>
            <w:pPr>
              <w:pStyle w:val="null3"/>
            </w:pPr>
            <w:r>
              <w:rPr>
                <w:rFonts w:ascii="仿宋_GB2312" w:hAnsi="仿宋_GB2312" w:cs="仿宋_GB2312" w:eastAsia="仿宋_GB2312"/>
              </w:rPr>
              <w:t>团队人员数量充足、配备合理、职责明确，完全满足项目需求，得10分； 团队人员数量较为充足、配备较为合理、职责较为明确，满足项目需求，得8分； 团队人员数量较少、配备基本合理、职责基本明确，基本满足项目需求，得6分； 团队员数量少、配备不合理、职责不明确，得3分；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拟投入本项目的设施设备</w:t>
            </w:r>
          </w:p>
        </w:tc>
        <w:tc>
          <w:tcPr>
            <w:tcW w:type="dxa" w:w="2492"/>
          </w:tcPr>
          <w:p>
            <w:pPr>
              <w:pStyle w:val="null3"/>
            </w:pPr>
            <w:r>
              <w:rPr>
                <w:rFonts w:ascii="仿宋_GB2312" w:hAnsi="仿宋_GB2312" w:cs="仿宋_GB2312" w:eastAsia="仿宋_GB2312"/>
              </w:rPr>
              <w:t>拟投入本项目设备配备齐全、技术先进、性能优秀，安全可靠，完全满足项目需求，得10分； 拟投入本项目设备配备较为齐全、技术较为先进、性能良好，满足项目需求，得8分； 拟投入本项目设备配备较少、技术及性能一般，基本满足项目需求，得6分； 拟投入本项目设备配备少、技术及性能较差，得3分；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结合本项目服务内容及特点，针对可能出现的突发情况有科学、完善的应急预案。 预案科学合理，防范意识高，风险把控能力强，得10分； 预案有较好的科学性及合理性，防范意识较高，有较强的风险把控能力，得8分； 预案科学性、合理性稍有欠缺，具备一定防范意识和风险把控能力，得6分； 预案内容简单，合理性差，得3分；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针对本项目有有利于采购人和项目实施的合理化建议。 内容详细、合理、可行性强，得10分； 内容较为详细与合理，可行性较强，得8分； 内容不详细，可行性较差，得6分； 内容简单，合理性、可行性差，得3分；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针对本项目提出有利于采购人和项目实施的服务承诺。 内容切实合理，得5分； 内容较为切实合理，得3分； 内容简单，合理性差，得1分；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供应商2022年1月至今同类项目业绩；每提供1份计1分，最高得5分。 业绩证明（以合同或中标/成交通知书签订日期为准，须在磋商响应文件中附以上证明材料的扫描件加盖单位公章）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