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版本号：HXGJXM2025-ZC-CS1031.20250519001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房屋建筑（含装饰装修）工程质量监督检查第三方服务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HXGJXM2025-ZC-CS1031.</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房屋建筑（含装饰装修）工程质量监督检查第三方服务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房屋建筑（含装饰装修）工程质量监督检查第三方服务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对辖区内的房屋建筑（含装饰装修）工程质量监督检查第三方服务提供第三方技术服务，具体服务区域以采购人指定的区域为准。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采购包1（房屋建筑（含装饰装修）工程质量监督检查第三方服务）：属于专门面向中小企业采购。</w:t>
      </w:r>
    </w:p>
    <w:p>
      <w:pPr>
        <w:pStyle w:val="null3"/>
      </w:pPr>
      <w:r>
        <w:rPr>
          <w:rFonts w:ascii="仿宋_GB2312" w:hAnsi="仿宋_GB2312" w:cs="仿宋_GB2312" w:eastAsia="仿宋_GB2312"/>
        </w:rPr>
        <w:t>采购包2（房屋建筑（含装饰装修）工程质量监督检查第三方服务）：属于专门面向中小企业采购。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pPr>
        <w:pStyle w:val="null3"/>
      </w:pPr>
      <w:r>
        <w:rPr>
          <w:rFonts w:ascii="仿宋_GB2312" w:hAnsi="仿宋_GB2312" w:cs="仿宋_GB2312" w:eastAsia="仿宋_GB2312"/>
        </w:rPr>
        <w:t>2、供应商资质：建设行政主管部门颁发的工程监理综合资质或具备房屋建筑工程监理乙级及以上资质；</w:t>
      </w:r>
    </w:p>
    <w:p>
      <w:pPr>
        <w:pStyle w:val="null3"/>
      </w:pPr>
      <w:r>
        <w:rPr>
          <w:rFonts w:ascii="仿宋_GB2312" w:hAnsi="仿宋_GB2312" w:cs="仿宋_GB2312" w:eastAsia="仿宋_GB2312"/>
        </w:rPr>
        <w:t>3、项目负责人证书：项目负责人具有注册监理工程师执业资格；</w:t>
      </w:r>
    </w:p>
    <w:p>
      <w:pPr>
        <w:pStyle w:val="null3"/>
      </w:pPr>
      <w:r>
        <w:rPr>
          <w:rFonts w:ascii="仿宋_GB2312" w:hAnsi="仿宋_GB2312" w:cs="仿宋_GB2312" w:eastAsia="仿宋_GB2312"/>
        </w:rPr>
        <w:t>4、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5、联合体：本采购包不接受联合体磋商。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pPr>
        <w:pStyle w:val="null3"/>
      </w:pPr>
      <w:r>
        <w:rPr>
          <w:rFonts w:ascii="仿宋_GB2312" w:hAnsi="仿宋_GB2312" w:cs="仿宋_GB2312" w:eastAsia="仿宋_GB2312"/>
        </w:rPr>
        <w:t>2、供应商资质：建设行政主管部门颁发的工程监理综合资质或具备房屋建筑工程监理乙级及以上资质；</w:t>
      </w:r>
    </w:p>
    <w:p>
      <w:pPr>
        <w:pStyle w:val="null3"/>
      </w:pPr>
      <w:r>
        <w:rPr>
          <w:rFonts w:ascii="仿宋_GB2312" w:hAnsi="仿宋_GB2312" w:cs="仿宋_GB2312" w:eastAsia="仿宋_GB2312"/>
        </w:rPr>
        <w:t>3、项目负责人证书：项目负责人具有注册监理工程师执业资格；</w:t>
      </w:r>
    </w:p>
    <w:p>
      <w:pPr>
        <w:pStyle w:val="null3"/>
      </w:pPr>
      <w:r>
        <w:rPr>
          <w:rFonts w:ascii="仿宋_GB2312" w:hAnsi="仿宋_GB2312" w:cs="仿宋_GB2312" w:eastAsia="仿宋_GB2312"/>
        </w:rPr>
        <w:t>4、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5、联合体：本采购包不接受联合体磋商。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王攀宏､康敏茹､雷鸣､张艳萍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计价格[2002]1980号）的通知和国家发展和改革委员会办公厅颁发的《关于招标代理服务收费有关问题的通知》（发改办价格[2003]857号）的有关规定执行。 2.成交单位在领取成交通知书前,须向采购代理机构一次性支付招标代理服务费; 3.招标代理服务费由中标供应商支付,在领取《中标通知书》前,由中标供应商一次性支付给华夏国际项目管理有限公司｡ 招标代理服务费缴纳账户: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联系人：王攀宏､康敏茹､雷鸣､张艳萍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对辖区内的房屋建筑（含装饰装修）工程质量监督检查第三方服务提供第三方技术服务，具体服务区域以采购人指定的区域为准。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房屋建筑（含装饰装修）工程质量监督检查第三方服务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房屋建筑（含装饰装修）工程质量监督检查第三方服务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标的名称：房屋建筑（含装饰装修）工程质量监督检查第三方服务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服务内容</w:t>
            </w:r>
          </w:p>
          <w:p>
            <w:pPr>
              <w:pStyle w:val="null3"/>
              <w:ind w:firstLine="420"/>
              <w:jc w:val="both"/>
            </w:pPr>
            <w:r>
              <w:rPr>
                <w:rFonts w:ascii="仿宋_GB2312" w:hAnsi="仿宋_GB2312" w:cs="仿宋_GB2312" w:eastAsia="仿宋_GB2312"/>
                <w:sz w:val="21"/>
              </w:rPr>
              <w:t>对辖区在建房屋建筑（含装饰装修）及市政基础设施项目，根据工程建设情况和监督工作需要开展质量监督检查，为在建项目质量监督提供第三方咨询服务；主要功能或目标</w:t>
            </w:r>
            <w:r>
              <w:rPr>
                <w:rFonts w:ascii="仿宋_GB2312" w:hAnsi="仿宋_GB2312" w:cs="仿宋_GB2312" w:eastAsia="仿宋_GB2312"/>
                <w:sz w:val="21"/>
              </w:rPr>
              <w:t>:在建工程质量监督巡查及质量监督第三方咨询服务；需满足的要求:符合国家、省、市现行法律法规及相关政策、标准要求。</w:t>
            </w:r>
          </w:p>
          <w:p>
            <w:pPr>
              <w:pStyle w:val="null3"/>
              <w:jc w:val="both"/>
            </w:pPr>
            <w:r>
              <w:rPr>
                <w:rFonts w:ascii="仿宋_GB2312" w:hAnsi="仿宋_GB2312" w:cs="仿宋_GB2312" w:eastAsia="仿宋_GB2312"/>
                <w:sz w:val="21"/>
              </w:rPr>
              <w:t>目前，雁塔辖区在建房屋建筑工程共</w:t>
            </w:r>
            <w:r>
              <w:rPr>
                <w:rFonts w:ascii="仿宋_GB2312" w:hAnsi="仿宋_GB2312" w:cs="仿宋_GB2312" w:eastAsia="仿宋_GB2312"/>
                <w:sz w:val="21"/>
              </w:rPr>
              <w:t>80个，建筑面积约1005万平方米，具体检查项目由甲方后期指定。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技术要求</w:t>
            </w:r>
          </w:p>
          <w:p>
            <w:pPr>
              <w:pStyle w:val="null3"/>
              <w:ind w:firstLine="420"/>
              <w:jc w:val="both"/>
            </w:pPr>
            <w:r>
              <w:rPr>
                <w:rFonts w:ascii="仿宋_GB2312" w:hAnsi="仿宋_GB2312" w:cs="仿宋_GB2312" w:eastAsia="仿宋_GB2312"/>
                <w:sz w:val="21"/>
              </w:rPr>
              <w:t>1、常态化巡查频次每个项目不低于2次/月，需重点管控项目巡查频次不低于3次/月，确保辖区所有在建工程检查覆盖率达到100%。</w:t>
            </w:r>
          </w:p>
          <w:p>
            <w:pPr>
              <w:pStyle w:val="null3"/>
              <w:ind w:firstLine="420"/>
              <w:jc w:val="both"/>
            </w:pPr>
            <w:r>
              <w:rPr>
                <w:rFonts w:ascii="仿宋_GB2312" w:hAnsi="仿宋_GB2312" w:cs="仿宋_GB2312" w:eastAsia="仿宋_GB2312"/>
                <w:sz w:val="21"/>
              </w:rPr>
              <w:t>2、质量巡查小组须根据完成雁塔区所有在建工程质量巡查工作，巡查组组长现场汇总检查出的隐患问题并根据《陕西省建设工程质量和安全生产管理条例》进行判定，按照一般、较大、重大质量隐患，及时下发质量隐患整改通知单及整改回复期限，一旦发现施工项目存在较大以上质量隐患，立即在8小时内报告质安中心处理。</w:t>
            </w:r>
          </w:p>
          <w:p>
            <w:pPr>
              <w:pStyle w:val="null3"/>
              <w:ind w:firstLine="420"/>
              <w:jc w:val="both"/>
            </w:pPr>
            <w:r>
              <w:rPr>
                <w:rFonts w:ascii="仿宋_GB2312" w:hAnsi="仿宋_GB2312" w:cs="仿宋_GB2312" w:eastAsia="仿宋_GB2312"/>
                <w:sz w:val="21"/>
              </w:rPr>
              <w:t>3、在建工程项目整改期限到期后，质量巡查小组2日内组织完成复查，就整改前后照片逐一对比审查，要求整改后的照片能客观反映质量隐患完成整改情况，确保闭环管理;未整改完成的，当日单独移送质安中心，采取停工整改、约谈教育、行政处罚等手段依法依规进行处理。</w:t>
            </w:r>
          </w:p>
          <w:p>
            <w:pPr>
              <w:pStyle w:val="null3"/>
              <w:ind w:firstLine="420"/>
              <w:jc w:val="both"/>
            </w:pPr>
            <w:r>
              <w:rPr>
                <w:rFonts w:ascii="仿宋_GB2312" w:hAnsi="仿宋_GB2312" w:cs="仿宋_GB2312" w:eastAsia="仿宋_GB2312"/>
                <w:sz w:val="21"/>
              </w:rPr>
              <w:t>4、质量巡检小组每周编制本周巡检报告报送至质安中心，每季度、半年、年度分别编制季度报、半年报、年度报，报送质安中心。</w:t>
            </w:r>
          </w:p>
          <w:p>
            <w:pPr>
              <w:pStyle w:val="null3"/>
              <w:ind w:firstLine="420"/>
              <w:jc w:val="both"/>
            </w:pPr>
            <w:r>
              <w:rPr>
                <w:rFonts w:ascii="仿宋_GB2312" w:hAnsi="仿宋_GB2312" w:cs="仿宋_GB2312" w:eastAsia="仿宋_GB2312"/>
                <w:sz w:val="21"/>
              </w:rPr>
              <w:t>5、质量巡检小组每月汇总、统计数字化管理数据，报送质安中心。</w:t>
            </w:r>
          </w:p>
          <w:p>
            <w:pPr>
              <w:pStyle w:val="null3"/>
              <w:jc w:val="both"/>
            </w:pPr>
            <w:r>
              <w:rPr>
                <w:rFonts w:ascii="仿宋_GB2312" w:hAnsi="仿宋_GB2312" w:cs="仿宋_GB2312" w:eastAsia="仿宋_GB2312"/>
                <w:sz w:val="21"/>
              </w:rPr>
              <w:t xml:space="preserve">    6、质量巡检小组在日常检查过程中，还需根据省、市、区专项检查文件对辖区内在建项目进行检查，并形成专项检查成果文件。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服务要求</w:t>
            </w:r>
          </w:p>
          <w:p>
            <w:pPr>
              <w:pStyle w:val="null3"/>
              <w:ind w:firstLine="420"/>
              <w:jc w:val="both"/>
            </w:pPr>
            <w:r>
              <w:rPr>
                <w:rFonts w:ascii="仿宋_GB2312" w:hAnsi="仿宋_GB2312" w:cs="仿宋_GB2312" w:eastAsia="仿宋_GB2312"/>
                <w:sz w:val="21"/>
              </w:rPr>
              <w:t>1、第三方机构是指政府委托的为政府房屋建筑工程质量监督管理提供技术服务的机构。通过实施施工质量巡查，以掌握辖区内在建工程项目工程质量管理状况，促进企业提高质量管理水平，排除项目存在的重大质量隐患，杜绝和减少质量事故的发生，促进工程质量管理水平持续提高。</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、第三方日常巡查持续时间：自合同签订生效之日起</w:t>
            </w:r>
            <w:r>
              <w:rPr>
                <w:rFonts w:ascii="仿宋_GB2312" w:hAnsi="仿宋_GB2312" w:cs="仿宋_GB2312" w:eastAsia="仿宋_GB2312"/>
                <w:sz w:val="21"/>
              </w:rPr>
              <w:t>1年。</w:t>
            </w:r>
          </w:p>
          <w:p>
            <w:pPr>
              <w:pStyle w:val="null3"/>
              <w:ind w:firstLine="420"/>
              <w:jc w:val="both"/>
            </w:pPr>
            <w:r>
              <w:rPr>
                <w:rFonts w:ascii="仿宋_GB2312" w:hAnsi="仿宋_GB2312" w:cs="仿宋_GB2312" w:eastAsia="仿宋_GB2312"/>
                <w:sz w:val="21"/>
              </w:rPr>
              <w:t>3、有固定办公地点，拥有与第三方机构工作相适应的设施、设备等必要的技术支撑条件。</w:t>
            </w:r>
          </w:p>
          <w:p>
            <w:pPr>
              <w:pStyle w:val="null3"/>
              <w:jc w:val="both"/>
            </w:pPr>
            <w:r>
              <w:rPr>
                <w:rFonts w:ascii="仿宋_GB2312" w:hAnsi="仿宋_GB2312" w:cs="仿宋_GB2312" w:eastAsia="仿宋_GB2312"/>
                <w:sz w:val="21"/>
              </w:rPr>
              <w:t xml:space="preserve">    4、由第三方巡查组织自行提供司机满足检查需要的人员及车辆车辆，保障工程质量巡查交通需求（根据日常化巡查需求按需提供）。</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标的名称：房屋建筑（含装饰装修）工程质量监督检查第三方服务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服务内容</w:t>
            </w:r>
          </w:p>
          <w:p>
            <w:pPr>
              <w:pStyle w:val="null3"/>
              <w:ind w:firstLine="420"/>
              <w:jc w:val="both"/>
            </w:pPr>
            <w:r>
              <w:rPr>
                <w:rFonts w:ascii="仿宋_GB2312" w:hAnsi="仿宋_GB2312" w:cs="仿宋_GB2312" w:eastAsia="仿宋_GB2312"/>
                <w:sz w:val="21"/>
              </w:rPr>
              <w:t>对辖区在建房屋建筑（含装饰装修）及市政基础设施项目，根据工程建设情况和监督工作需要开展质量监督检查，为在建项目质量监督提供第三方咨询服务；主要功能或目标</w:t>
            </w:r>
            <w:r>
              <w:rPr>
                <w:rFonts w:ascii="仿宋_GB2312" w:hAnsi="仿宋_GB2312" w:cs="仿宋_GB2312" w:eastAsia="仿宋_GB2312"/>
                <w:sz w:val="21"/>
              </w:rPr>
              <w:t>:在建工程质量监督巡查及质量监督第三方咨询服务；需满足的要求:符合国家、省、市现行法律法规及相关政策、标准要求。</w:t>
            </w:r>
          </w:p>
          <w:p>
            <w:pPr>
              <w:pStyle w:val="null3"/>
              <w:jc w:val="both"/>
            </w:pPr>
            <w:r>
              <w:rPr>
                <w:rFonts w:ascii="仿宋_GB2312" w:hAnsi="仿宋_GB2312" w:cs="仿宋_GB2312" w:eastAsia="仿宋_GB2312"/>
                <w:sz w:val="21"/>
              </w:rPr>
              <w:t>目前，雁塔辖区在建房屋建筑工程共</w:t>
            </w:r>
            <w:r>
              <w:rPr>
                <w:rFonts w:ascii="仿宋_GB2312" w:hAnsi="仿宋_GB2312" w:cs="仿宋_GB2312" w:eastAsia="仿宋_GB2312"/>
                <w:sz w:val="21"/>
              </w:rPr>
              <w:t>80个，建筑面积约1005万平方米，具体检查项目由甲方后期指定。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技术要求</w:t>
            </w:r>
          </w:p>
          <w:p>
            <w:pPr>
              <w:pStyle w:val="null3"/>
              <w:ind w:firstLine="420"/>
              <w:jc w:val="both"/>
            </w:pPr>
            <w:r>
              <w:rPr>
                <w:rFonts w:ascii="仿宋_GB2312" w:hAnsi="仿宋_GB2312" w:cs="仿宋_GB2312" w:eastAsia="仿宋_GB2312"/>
                <w:sz w:val="21"/>
              </w:rPr>
              <w:t>1、常态化巡查频次每个项目不低于2次/月，需重点管控项目巡查频次不低于3次/月，确保辖区所有在建工程检查覆盖率达到100%。</w:t>
            </w:r>
          </w:p>
          <w:p>
            <w:pPr>
              <w:pStyle w:val="null3"/>
              <w:ind w:firstLine="420"/>
              <w:jc w:val="both"/>
            </w:pPr>
            <w:r>
              <w:rPr>
                <w:rFonts w:ascii="仿宋_GB2312" w:hAnsi="仿宋_GB2312" w:cs="仿宋_GB2312" w:eastAsia="仿宋_GB2312"/>
                <w:sz w:val="21"/>
              </w:rPr>
              <w:t>2、质量巡查小组须根据完成雁塔区所有在建工程质量巡查工作，巡查组组长现场汇总检查出的隐患问题并根据《陕西省建设工程质量和安全生产管理条例》进行判定，按照一般、较大、重大质量隐患，及时下发质量隐患整改通知单及整改回复期限，一旦发现施工项目存在较大以上质量隐患，立即在8小时内报告质安中心处理。</w:t>
            </w:r>
          </w:p>
          <w:p>
            <w:pPr>
              <w:pStyle w:val="null3"/>
              <w:ind w:firstLine="420"/>
              <w:jc w:val="both"/>
            </w:pPr>
            <w:r>
              <w:rPr>
                <w:rFonts w:ascii="仿宋_GB2312" w:hAnsi="仿宋_GB2312" w:cs="仿宋_GB2312" w:eastAsia="仿宋_GB2312"/>
                <w:sz w:val="21"/>
              </w:rPr>
              <w:t>3、在建工程项目整改期限到期后，质量巡查小组2日内组织完成复查，就整改前后照片逐一对比审查，要求整改后的照片能客观反映质量隐患完成整改情况，确保闭环管理;未整改完成的，当日单独移送质安中心，采取停工整改、约谈教育、行政处罚等手段依法依规进行处理。</w:t>
            </w:r>
          </w:p>
          <w:p>
            <w:pPr>
              <w:pStyle w:val="null3"/>
              <w:ind w:firstLine="420"/>
              <w:jc w:val="both"/>
            </w:pPr>
            <w:r>
              <w:rPr>
                <w:rFonts w:ascii="仿宋_GB2312" w:hAnsi="仿宋_GB2312" w:cs="仿宋_GB2312" w:eastAsia="仿宋_GB2312"/>
                <w:sz w:val="21"/>
              </w:rPr>
              <w:t>4、质量巡检小组每周编制本周巡检报告报送至质安中心，每季度、半年、年度分别编制季度报、半年报、年度报，报送质安中心。</w:t>
            </w:r>
          </w:p>
          <w:p>
            <w:pPr>
              <w:pStyle w:val="null3"/>
              <w:ind w:firstLine="420"/>
              <w:jc w:val="both"/>
            </w:pPr>
            <w:r>
              <w:rPr>
                <w:rFonts w:ascii="仿宋_GB2312" w:hAnsi="仿宋_GB2312" w:cs="仿宋_GB2312" w:eastAsia="仿宋_GB2312"/>
                <w:sz w:val="21"/>
              </w:rPr>
              <w:t>5、质量巡检小组每月汇总、统计数字化管理数据，报送质安中心。</w:t>
            </w:r>
          </w:p>
          <w:p>
            <w:pPr>
              <w:pStyle w:val="null3"/>
              <w:jc w:val="both"/>
            </w:pPr>
            <w:r>
              <w:rPr>
                <w:rFonts w:ascii="仿宋_GB2312" w:hAnsi="仿宋_GB2312" w:cs="仿宋_GB2312" w:eastAsia="仿宋_GB2312"/>
                <w:sz w:val="21"/>
              </w:rPr>
              <w:t xml:space="preserve">    6、质量巡检小组在日常检查过程中，还需根据省、市、区专项检查文件对辖区内在建项目进行检查，并形成专项检查成果文件。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服务要求</w:t>
            </w:r>
          </w:p>
          <w:p>
            <w:pPr>
              <w:pStyle w:val="null3"/>
              <w:ind w:firstLine="420"/>
              <w:jc w:val="both"/>
            </w:pPr>
            <w:r>
              <w:rPr>
                <w:rFonts w:ascii="仿宋_GB2312" w:hAnsi="仿宋_GB2312" w:cs="仿宋_GB2312" w:eastAsia="仿宋_GB2312"/>
                <w:sz w:val="21"/>
              </w:rPr>
              <w:t>1、第三方机构是指政府委托的为政府房屋建筑工程质量监督管理提供技术服务的机构。通过实施施工质量巡查，以掌握辖区内在建工程项目工程质量管理状况，促进企业提高质量管理水平，排除项目存在的重大质量隐患，杜绝和减少质量事故的发生，促进工程质量管理水平持续提高。</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、第三方日常巡查持续时间：自合同签订生效之日起</w:t>
            </w:r>
            <w:r>
              <w:rPr>
                <w:rFonts w:ascii="仿宋_GB2312" w:hAnsi="仿宋_GB2312" w:cs="仿宋_GB2312" w:eastAsia="仿宋_GB2312"/>
                <w:sz w:val="21"/>
              </w:rPr>
              <w:t>1年。</w:t>
            </w:r>
          </w:p>
          <w:p>
            <w:pPr>
              <w:pStyle w:val="null3"/>
              <w:ind w:firstLine="420"/>
              <w:jc w:val="both"/>
            </w:pPr>
            <w:r>
              <w:rPr>
                <w:rFonts w:ascii="仿宋_GB2312" w:hAnsi="仿宋_GB2312" w:cs="仿宋_GB2312" w:eastAsia="仿宋_GB2312"/>
                <w:sz w:val="21"/>
              </w:rPr>
              <w:t>3、有固定办公地点，拥有与第三方机构工作相适应的设施、设备等必要的技术支撑条件。</w:t>
            </w:r>
          </w:p>
          <w:p>
            <w:pPr>
              <w:pStyle w:val="null3"/>
              <w:jc w:val="both"/>
            </w:pPr>
            <w:r>
              <w:rPr>
                <w:rFonts w:ascii="仿宋_GB2312" w:hAnsi="仿宋_GB2312" w:cs="仿宋_GB2312" w:eastAsia="仿宋_GB2312"/>
                <w:sz w:val="21"/>
              </w:rPr>
              <w:t xml:space="preserve">    4、由第三方巡查组织自行提供司机满足检查需要的人员及车辆车辆，保障工程质量巡查交通需求（根据日常化巡查需求按需提供）。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具体检查项目由甲方后期指定。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具体检查项目由甲方后期指定。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合同签订后7个工作日内，付款之前，供应商须提供符合税务规定的合法有效发票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服务至半年后，付款之前，供应商须提供符合税务规定的合法有效发票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服务完成后，付款之前，供应商须提供符合税务规定的合法有效发票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合同签订后7个工作日内,付款之前，供应商须提供符合税务规定的合法有效发票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服务至半年后,付款之前，供应商须提供符合税务规定的合法有效发票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服务完成后,付款之前，供应商须提供符合税务规定的合法有效发票。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3、如甲方未能在本合同约定时间内支付款项，每延迟一天，甲方须向乙方承担迟延支付费用的0.5‰作为违约金，并将服务周期予以相应顺延。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 违约金不足以弥补损失的，乙方还应承担相应赔偿责任。 7、本合同在履行过程中发生的争议,由甲､乙双方当事人协商解决,协商不成的按下列第二种方式解决: （一）提交西安仲裁委员会仲裁; （二）依法向甲方所在地人民法院起诉｡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3、如甲方未能在本合同约定时间内支付款项，每延迟一天，甲方须向乙方承担迟延支付费用的0.5‰作为违约金，并将服务周期予以相应顺延。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 违约金不足以弥补损失的，乙方还应承担相应赔偿责任。 7、本合同在履行过程中发生的争议,由甲､乙双方当事人协商解决,协商不成的按下列第二种方式解决: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1、价格： 1-1、合同单价包括：服务费、售后服务费、利润、税金、保险、相关伴随费用等的一切费用。 1-2、合同有效期内，合同单价一次包死，不受国家政策性调价或原材料价格变化及外汇汇率变化的影响，并作为最终结算的唯一依据。 1-3、服务承诺：供应商应遵照国家规范规定的技术服务内容及要求作出明确承诺。 2、保密要求： 成交单位和采购人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 3、质量要求： 满足国家、省、市现行法律法规及相关政策要求。 4、合同实施： 4-1、成交供应商应在合同签订后尽快安排人员与采购单位就服务工作进行安排、部署。 4-2、若因成交供应商原因未能在服务期内完成合同规定的义务，由此对采购人造成的延误和一切损失，由成交供应商承担和赔偿。 5.供应商可同时参与两个采购包磋商，但最多中一个采购包，磋商小组按照采购包顺序进行评审，第一包成交候选人排名第一的单位，将不在第二包成交候选人中排名。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建设行政主管部门颁发的工程监理综合资质或具备房屋建筑工程监理乙级及以上资质；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项目负责人证书</w:t>
            </w:r>
          </w:p>
        </w:tc>
        <w:tc>
          <w:tcPr>
            <w:tcW w:type="dxa" w:w="3322"/>
          </w:tcPr>
          <w:p>
            <w:pPr>
              <w:pStyle w:val="null3"/>
            </w:pPr>
            <w:r>
              <w:rPr>
                <w:rFonts w:ascii="仿宋_GB2312" w:hAnsi="仿宋_GB2312" w:cs="仿宋_GB2312" w:eastAsia="仿宋_GB2312"/>
              </w:rPr>
              <w:t>项目负责人具有注册监理工程师执业资格；</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本采购包不接受联合体磋商。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建设行政主管部门颁发的工程监理综合资质或具备房屋建筑工程监理乙级及以上资质；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项目负责人证书</w:t>
            </w:r>
          </w:p>
        </w:tc>
        <w:tc>
          <w:tcPr>
            <w:tcW w:type="dxa" w:w="3322"/>
          </w:tcPr>
          <w:p>
            <w:pPr>
              <w:pStyle w:val="null3"/>
            </w:pPr>
            <w:r>
              <w:rPr>
                <w:rFonts w:ascii="仿宋_GB2312" w:hAnsi="仿宋_GB2312" w:cs="仿宋_GB2312" w:eastAsia="仿宋_GB2312"/>
              </w:rPr>
              <w:t>项目负责人具有注册监理工程师执业资格；</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本采购包不接受联合体磋商。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1、对项目内容、采购需求、目标要求认识全面、理解深刻到位，完全符合项目需求，得4分； 2、对项目内容、采购需求、目标要求有一定认识和理解，基本符合项目需求，得3分； 3、对项目内容、采购需求有一定认识和理解，针对性不强，得2分； 4、对本项目相关要求的认识、理解不深入，有偏差，得1分； 5、其他或未提供不得分。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针对对辖区在建房屋建筑（含装饰装修）、市政基础设施项目，提供详细的服务方案： 1.对在建项目工期进度情况检查的方案； 2.对在建项目技术质量排查、质量体系运行情况检查的方案； 3.对建筑工程分包单位管理制度落实情况的检查方案； 4.配合政府政策文件要求，开展质量专项排的方案； 5.对需求范围内各类质量应急处置的方案； 6.对辖区内农村自建房屋排查的方案； 7.对辖区建设项目提供专业咨询、技术指导等服务的方案； 8.对辖区开展劳动技能大赛等质量安全竞赛活动的方案。 根据以上服务方案的完整性、规范性、科学性、可行性进行评分。 ①每个方案详细具体、切实可行，满足招标人要求的得4分； ②每个方案较具体、可行，满足招标人要求的得3分； ③每个方案较为全面、基本满足招标人要求的得2分； ④每个方案缺失、针对性差、无法满足招标人要求的得1分； ⑤未提供得0分。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分别针对在建房屋建筑（含装饰装修）、市政工程巡查工作的重点和难点，至少包括关键环节、质量重点风险源、重大隐患。 ①每种类型的工程巡查重点难点详细具体、切实可行，得4分； ②每种类型的工程巡查重点难点较具体、可行，得3分； ③每种类型的工程方案较为全面、基本可行的得2分； ④每种类型的工程方案缺失、针对性差、无法满足招标人要求的得1分； ⑤未提供得0分。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成果文件编制计划</w:t>
            </w:r>
          </w:p>
        </w:tc>
        <w:tc>
          <w:tcPr>
            <w:tcW w:type="dxa" w:w="2492"/>
          </w:tcPr>
          <w:p>
            <w:pPr>
              <w:pStyle w:val="null3"/>
            </w:pPr>
            <w:r>
              <w:rPr>
                <w:rFonts w:ascii="仿宋_GB2312" w:hAnsi="仿宋_GB2312" w:cs="仿宋_GB2312" w:eastAsia="仿宋_GB2312"/>
              </w:rPr>
              <w:t>针对本项目的成果文件的编制计划： ①结合项目需求，投标人应提供成果文件编制计划。阐述内容详尽具体，实施细节及措施合理完善，针对性强，可实施性强，与本项目结合紧密，完全满足采购需求，得6分； ②虽进行了阐述，但阐述内容不够详尽具体，或实施细节及措施较为合理 完善但稍有瑕疵，或针对性不够强，或可实施性不够强，总体上满足采购需求，细节待完善，得4分； ③虽进行了阐述，但阐述内容有所缺失，或实施细节及措施不合理不完善，或缺乏针对性，或缺乏可实施性，得2分； ④虽进行了阐述，但阐述内容缺失严重，或未结合项目情况进行论述，偏差明显的得1分；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投标人针对本项目有完善的管理体系、质量管理、项目保证措施等。要求针对本项目的质量保证体系健全、控制程序规范、保证措施得当，能确保项目顺利实施。 ①供应商应提供各项保障措施，阐述内容详尽具体，实施细节及措施合理、完善，针对性强，可实施性强，与本项目结合紧密，完全满足采购需求，得6分； ②虽进行了阐述，但阐述内容不够详尽具体，或实施细节及措施较为合理、完善但稍有瑕疵，或针对性不够强，或可实施性不够强，总体上满足采购需求，细节待完善，得4分； ③虽进行了阐述，但阐述内容较为简略，或实施细节及措施基本合理完善但有所欠缺，或针对性不强，或可实施性不强，基本满足采购需求，待改进加强，得2分； ④虽进行了阐述，但阐述内容缺失严重，或未结合项目情况进行论述，偏差明显的得1分；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①项目团队人员配备方案科学合理，描述清晰，且能针对性满足项目需求的得6分； ②项目团队人员配备方案较合理，描述简单，具有一定针对性的得4分； ③项目团队人员配备方案合理，描述简单，缺乏针对性的得2分； ④项目团队人员配备方案笼统的得1分；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针对本项目具有完善的质量应急处置措施，具有质量事故规避处理机制； ①应急措施，详细，实用，切实可行，得6分； ②应急措施，详细，实用，可行性较强，得4分; ③应急措施，详细，实用，可行性简单笼统，得2分； ④应急措施，详细，实用，可行性差，得1分;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针对本项目提出适用于本项目的保密措施：对监督检查的数据、结果、成果文件的保密措施； ①保密措施详细合理，可性强得6分。 ②保密措施基本完整，可行性较强得4分; ③保密措施简单，可行性一般得2分; ④保密措施较混乱，可行性较差得1分;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拟投入的设备必须满足本项目实际需求，并从①设备性能；②数量及种类，体现拟投入设备的合理性和必要性。 ①针对本项目采购需求，提供拟投入的设备机械，齐全满足质量监督检查使用需求得3分； ②针对本项目采购需求，提供拟投入的设备机械，较为齐全满足质量监督检查使用需求得2分； ③针对本项目采购需求，提供拟投入的设备机械，不齐全不能完全满足质量监督检查使用需求得1分； ④未提供得0分。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针对本项目特点，提供本项目服务承诺，应包含①服务效果②服务过程中的人员到岗情况③隐患处理及解决办法，每提供一项得1分，最高得3分，未提供承诺得0分.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 议</w:t>
            </w:r>
          </w:p>
        </w:tc>
        <w:tc>
          <w:tcPr>
            <w:tcW w:type="dxa" w:w="2492"/>
          </w:tcPr>
          <w:p>
            <w:pPr>
              <w:pStyle w:val="null3"/>
            </w:pPr>
            <w:r>
              <w:rPr>
                <w:rFonts w:ascii="仿宋_GB2312" w:hAnsi="仿宋_GB2312" w:cs="仿宋_GB2312" w:eastAsia="仿宋_GB2312"/>
              </w:rPr>
              <w:t>①针对本项目的合理化建议详细、具体、可行得3分； ②针对本项目的合理化建议较具体、基本可行得2分; ③针对本项目的合理化建议较差、可行性低得1分; ④未提供得0分。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供应商提供自2022年05月01日至今类似业绩的证明材料（合同复印件加盖公章，以合同签订时间为准）每提供一项得2分，最高得4分，未提供不得分。注:须提供项目完整合同扫描件件,加盖公章｡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1、对项目内容、采购需求、目标要求认识全面、理解深刻到位，完全符合项目需求，得4分； 2、对项目内容、采购需求、目标要求有一定认识和理解，基本符合项目需求，得3分； 3、对项目内容、采购需求有一定认识和理解，针对性不强，得2分； 4、对本项目相关要求的认识、理解不深入，有偏差，得1分； 5、其他或未提供不得分。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针对对辖区在建房屋建筑（含装饰装修）、市政基础设施项目，提供详细的服务方案： 1.对在建项目工期进度情况检查的方案； 2.对在建项目技术质量排查、质量体系运行情况检查的方案； 3.对建筑工程分包单位管理制度落实情况的检查方案； 4.配合政府政策文件要求，开展质量专项排的方案； 5.对需求范围内各类质量应急处置的方案； 6.对辖区内农村自建房屋排查的方案； 7.对辖区建设项目提供专业咨询、技术指导等服务的方案； 8.对辖区开展劳动技能大赛等质量安全竞赛活动的方案。 根据以上服务方案的完整性、规范性、科学性、可行性进行评分。 ①每个方案详细具体、切实可行，满足招标人要求的得4分； ②每个方案较具体、可行，满足招标人要求的得3分； ③每个方案较为全面、基本满足招标人要求的得2分； ④每个方案缺失、针对性差、无法满足招标人要求的得1分； ⑤未提供得0分。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分别针对在建房屋建筑（含装饰装修）、市政工程巡查工作的重点和难点，至少包括关键环节、质量重点风险源、重大隐患。 ①每种类型的工程巡查重点难点详细具体、切实可行，得4分； ②每种类型的工程巡查重点难点较具体、可行，得3分； ③每种类型的工程方案较为全面、基本可行的得2分； ④每种类型的工程方案缺失、针对性差、无法满足招标人要求的得1分； ⑤未提供得0分。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成果文件编制计划</w:t>
            </w:r>
          </w:p>
        </w:tc>
        <w:tc>
          <w:tcPr>
            <w:tcW w:type="dxa" w:w="2492"/>
          </w:tcPr>
          <w:p>
            <w:pPr>
              <w:pStyle w:val="null3"/>
            </w:pPr>
            <w:r>
              <w:rPr>
                <w:rFonts w:ascii="仿宋_GB2312" w:hAnsi="仿宋_GB2312" w:cs="仿宋_GB2312" w:eastAsia="仿宋_GB2312"/>
              </w:rPr>
              <w:t>针对本项目的成果文件的编制计划： ①结合项目需求，投标人应提供成果文件编制计划。阐述内容详尽具体，实施细节及措施合理完善，针对性强，可实施性强，与本项目结合紧密，完全满足采购需求，得6分； ②虽进行了阐述，但阐述内容不够详尽具体，或实施细节及措施较为合理 完善但稍有瑕疵，或针对性不够强，或可实施性不够强，总体上满足采购需求，细节待完善，得4分； ③虽进行了阐述，但阐述内容有所缺失，或实施细节及措施不合理不完善，或缺乏针对性，或缺乏可实施性，得2分； ④虽进行了阐述，但阐述内容缺失严重，或未结合项目情况进行论述，偏差明显的得1分；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投标人针对本项目有完善的管理体系、质量管理、项目保证措施等。要求针对本项目的质量保证体系健全、控制程序规范、保证措施得当，能确保项目顺利实施。 ①供应商应提供各项保障措施，阐述内容详尽具体，实施细节及措施合理、完善，针对性强，可实施性强，与本项目结合紧密，完全满足采购需求，得6分； ②虽进行了阐述，但阐述内容不够详尽具体，或实施细节及措施较为合理、完善但稍有瑕疵，或针对性不够强，或可实施性不够强，总体上满足采购需求，细节待完善，得4分； ③虽进行了阐述，但阐述内容较为简略，或实施细节及措施基本合理完善但有所欠缺，或针对性不强，或可实施性不强，基本满足采购需求，待改进加强，得2分； ④虽进行了阐述，但阐述内容缺失严重，或未结合项目情况进行论述，偏差明显的得1分；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①项目团队人员配备方案科学合理，描述清晰，且能针对性满足项目需求的得6分； ②项目团队人员配备方案较合理，描述简单，具有一定针对性的得4分； ③项目团队人员配备方案合理，描述简单，缺乏针对性的得2分； ④项目团队人员配备方案笼统的得1分；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针对本项目具有完善的质量应急处置措施，具有质量事故规避处理机制； ①应急措施，详细，实用，切实可行，得6分； ②应急措施，详细，实用，可行性较强，得4分; ③应急措施，详细，实用，可行性简单笼统，得2分； ④应急措施，详细，实用，可行性差，得1分;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针对本项目提出适用于本项目的保密措施：对监督检查的数据、结果、成果文件的保密措施； ①保密措施详细合理，可性强得6分。 ②保密措施基本完整，可行性较强得4分; ③保密措施简单，可行性一般得2分; ④保密措施较混乱，可行性较差得1分;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拟投入的设备必须满足本项目实际需求，并从①设备性能；②数量及种类，体现拟投入设备的合理性和必要性。 ①针对本项目采购需求，提供拟投入的设备机械，齐全满足质量监督检查使用需求得3分； ②针对本项目采购需求，提供拟投入的设备机械，较为齐全满足质量监督检查使用需求得2分； ③针对本项目采购需求，提供拟投入的设备机械，不齐全不能完全满足质量监督检查使用需求得1分； ④未提供得0分。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针对本项目特点，提供本项目服务承诺，应包含①服务效果②服务过程中的人员到岗情况③隐患处理及解决办法，每提供一项得1分，最高得3分，未提供承诺得0分.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①针对本项目的合理化建议详细、具体、可行得3分； ②针对本项目的合理化建议较具体、基本可行得2分; ③针对本项目的合理化建议较差、可行性低得1分; ④未提供得0分。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供应商提供自2022年05月01日至今类似业绩的证明材料（合同复印件加盖公章，以合同签订时间为准）每提供一项得2分，最高得4分，未提供不得分。注:须提供项目完整合同扫描件件,加盖公章｡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