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版本号：STTY-FW-2025-00820250521001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数字化城市管理城管通项目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STTY-FW-2025-008</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数字化城市管理城管通项目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STTY-FW-2025-008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数字化城市管理城管通项目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数字化城市管理城管通项目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1、法定代表人证明书或法定代表人授权委托书：法定代表人授权委托书及被授权人身份证明（法定代表人直接磋商只须提供其身份证明）、参会人员近三个月内至少一个月社保缴纳证明。</w:t>
      </w:r>
    </w:p>
    <w:p>
      <w:pPr>
        <w:pStyle w:val="null3"/>
      </w:pPr>
      <w:r>
        <w:rPr>
          <w:rFonts w:ascii="仿宋_GB2312" w:hAnsi="仿宋_GB2312" w:cs="仿宋_GB2312" w:eastAsia="仿宋_GB2312"/>
        </w:rPr>
        <w:t>2、商务及服务内容响应：供应商根据竞争性磋商文件“3.2服务内容及服务要求”、“3.3商务要求”进行响应，不允许有负偏离。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韩敏亭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029-89328236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陕西省西安市未央区陕西省西安市经济技术开发区明光路天朗经开中心21楼2104室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代理服务费收费标准：成交人应依据中标金额向采购代理机构交纳中标服务费，交费金额以国家计委颁布的《招标代理服务收费管理暂行办法》(计价格2002]1980号)文件服务类计算标准为依据计代理服务费。 公司名称;陕西盛泰天域项目管理有限公司 开户行：中国建设银行股份有限公司西安世融嘉城支行 账 户：61050175540000001105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按照竞争性磋商文件、竞争性磋商响应文件要求及合同约定执行。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联系人：祁亚娟</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地址：陕西省西安市经济技术开发区明光路天朗经开中心21楼2104室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数字化城市管理城管通项目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472,000.00</w:t>
      </w:r>
    </w:p>
    <w:p>
      <w:pPr>
        <w:pStyle w:val="null3"/>
      </w:pPr>
      <w:r>
        <w:rPr>
          <w:rFonts w:ascii="仿宋_GB2312" w:hAnsi="仿宋_GB2312" w:cs="仿宋_GB2312" w:eastAsia="仿宋_GB2312"/>
        </w:rPr>
        <w:t>采购包最高限价（元）: 472,000.00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数字化城市管理城管通项目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标的名称：数字化城市管理城管通项目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（1）通讯服务套餐</w:t>
            </w:r>
            <w:r>
              <w:br/>
            </w:r>
            <w:r>
              <w:rPr>
                <w:rFonts w:ascii="仿宋_GB2312" w:hAnsi="仿宋_GB2312" w:cs="仿宋_GB2312" w:eastAsia="仿宋_GB2312"/>
              </w:rPr>
              <w:t xml:space="preserve"> 国内语音≥1700分钟/月</w:t>
            </w:r>
            <w:r>
              <w:br/>
            </w:r>
            <w:r>
              <w:rPr>
                <w:rFonts w:ascii="仿宋_GB2312" w:hAnsi="仿宋_GB2312" w:cs="仿宋_GB2312" w:eastAsia="仿宋_GB2312"/>
              </w:rPr>
              <w:t xml:space="preserve"> 国内流量≥100GB/月</w:t>
            </w:r>
            <w:r>
              <w:br/>
            </w:r>
            <w:r>
              <w:rPr>
                <w:rFonts w:ascii="仿宋_GB2312" w:hAnsi="仿宋_GB2312" w:cs="仿宋_GB2312" w:eastAsia="仿宋_GB2312"/>
              </w:rPr>
              <w:t xml:space="preserve"> 套餐时长：24个月</w:t>
            </w:r>
            <w:r>
              <w:br/>
            </w:r>
            <w:r>
              <w:rPr>
                <w:rFonts w:ascii="仿宋_GB2312" w:hAnsi="仿宋_GB2312" w:cs="仿宋_GB2312" w:eastAsia="仿宋_GB2312"/>
              </w:rPr>
              <w:t xml:space="preserve"> 数量：140个</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（2）核心功能要求</w:t>
            </w:r>
            <w:r>
              <w:br/>
            </w:r>
            <w:r>
              <w:rPr>
                <w:rFonts w:ascii="仿宋_GB2312" w:hAnsi="仿宋_GB2312" w:cs="仿宋_GB2312" w:eastAsia="仿宋_GB2312"/>
              </w:rPr>
              <w:t xml:space="preserve"> 执法系统兼容性，预装“西安市数字城管”APP，用于对接市级城管平台 。</w:t>
            </w:r>
            <w:r>
              <w:br/>
            </w:r>
            <w:r>
              <w:rPr>
                <w:rFonts w:ascii="仿宋_GB2312" w:hAnsi="仿宋_GB2312" w:cs="仿宋_GB2312" w:eastAsia="仿宋_GB2312"/>
              </w:rPr>
              <w:t xml:space="preserve"> 西安交警APP,用于违停车辆管理。“互联网+监管”APP，用于执法案件全流程网上办理。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按本项目服务要求，实行标准规范化组织与管理，投入经过严格培训，能够胜任项目工作任务的相关人员，保证项目顺利实施。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根据项目特性，服务商认为有必要投入有利于完成本项目服务的各类设施设备（包含但不限于专业设备、辅助设备、工具、软件等）。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成交供应商领取成交通知书时，提交纸质磋商响应文件正本壹份、副本贰份、电子版壹份（U盘壹份注明单位名称）编辑目录和页码，内容和通过电子化交易平台实施的政府采购项目提交的磋商响应文件一致。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按照竞争性磋商文件、竞争性磋商响应文件要求及合同约定执行。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合同签订后，支付数字城管通APP通讯服务费用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近6个月已缴纳的任意1个月的依法缴纳税款的相关凭据(时间以税款所属日期为准、税种须包含增值税或企业所得税)，凭据应有税务机关或代收机关的公章或业务专用章。依法免税或无须缴纳税款的供应商，应提供相关证明文件; ③社会保障资金缴存证明:提供近6个月已缴纳的任意1个月的社会保障资金缴存单据或社保机构开具的社会保险参保缴费情况证明,依法不需要缴纳社会保障资金的单位应提供相关证明材料; ④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2024年度审计报告（成立时间至提交竞争性磋商响应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符合要求的供应商（联合体）服务全部由符合政策要求的中小企业承接。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法定代表人证明书或法定代表人授权委托书</w:t>
            </w:r>
          </w:p>
        </w:tc>
        <w:tc>
          <w:tcPr>
            <w:tcW w:type="dxa" w:w="3322"/>
          </w:tcPr>
          <w:p>
            <w:pPr>
              <w:pStyle w:val="null3"/>
            </w:pPr>
            <w:r>
              <w:rPr>
                <w:rFonts w:ascii="仿宋_GB2312" w:hAnsi="仿宋_GB2312" w:cs="仿宋_GB2312" w:eastAsia="仿宋_GB2312"/>
              </w:rPr>
              <w:t>法定代表人授权委托书及被授权人身份证明（法定代表人直接磋商只须提供其身份证明）、参会人员近三个月内至少一个月社保缴纳证明。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商务及服务内容响应</w:t>
            </w:r>
          </w:p>
        </w:tc>
        <w:tc>
          <w:tcPr>
            <w:tcW w:type="dxa" w:w="3322"/>
          </w:tcPr>
          <w:p>
            <w:pPr>
              <w:pStyle w:val="null3"/>
            </w:pPr>
            <w:r>
              <w:rPr>
                <w:rFonts w:ascii="仿宋_GB2312" w:hAnsi="仿宋_GB2312" w:cs="仿宋_GB2312" w:eastAsia="仿宋_GB2312"/>
              </w:rPr>
              <w:t>供应商根据竞争性磋商文件“3.2服务内容及服务要求”、“3.3商务要求”进行响应，不允许有负偏离。</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响应磋商文件要求 未出现采购文件规定的无效响应情形</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磋商截止之日起90日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投标报价超过采购预算，按无效标处理</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陕西省内无线接入基站技术性能优良、信号稳定。基站建设数多、信号覆盖率高。以中国铁塔股份有限公司陕西省分公司数据为准。最高者得满分6，其余依次递减扣除1分，扣完为止。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企业证书</w:t>
            </w:r>
          </w:p>
        </w:tc>
        <w:tc>
          <w:tcPr>
            <w:tcW w:type="dxa" w:w="2492"/>
          </w:tcPr>
          <w:p>
            <w:pPr>
              <w:pStyle w:val="null3"/>
            </w:pPr>
            <w:r>
              <w:rPr>
                <w:rFonts w:ascii="仿宋_GB2312" w:hAnsi="仿宋_GB2312" w:cs="仿宋_GB2312" w:eastAsia="仿宋_GB2312"/>
              </w:rPr>
              <w:t>供应商具备以下证书，每提供一个得1分，最高得3分。 1）ISO9001质量管理体系证书； 2）基础电信业务经营许可证； 3）增值电信业务经营许可证。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提供本项目完善的项目服务方案，内容完整、规范科学、合理、安全、节能，细节描述详细，有可实施性，根据响应程度赋分：实施方案完整、可操作性强、细节考虑到位计12-18分 ；实施方案基本完整，有相对的可操作性，描述良好的计6-12分；描述符合采购内容要求，内容一般的计0-6分。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列出培训的具体内容及方式，确保使用人员能够独立熟练操作和正常使用。 培训方案详细、合理，可行性高，得4-6分； 培训方案较详细、合理，基本保证实施，得2-4分； 培训方案一般，实施困难，得0-2分；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通讯服务开通流程</w:t>
            </w:r>
          </w:p>
        </w:tc>
        <w:tc>
          <w:tcPr>
            <w:tcW w:type="dxa" w:w="2492"/>
          </w:tcPr>
          <w:p>
            <w:pPr>
              <w:pStyle w:val="null3"/>
            </w:pPr>
            <w:r>
              <w:rPr>
                <w:rFonts w:ascii="仿宋_GB2312" w:hAnsi="仿宋_GB2312" w:cs="仿宋_GB2312" w:eastAsia="仿宋_GB2312"/>
              </w:rPr>
              <w:t>根据通讯服务开通流程是否简易，时效等方面进行综合评审得分； 流程十分简易，时效迅速得4-6分； 流程较为简易，时效一般得2-4分； 流程复杂，时效慢得0-2分；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系统故障的补救措施</w:t>
            </w:r>
          </w:p>
        </w:tc>
        <w:tc>
          <w:tcPr>
            <w:tcW w:type="dxa" w:w="2492"/>
          </w:tcPr>
          <w:p>
            <w:pPr>
              <w:pStyle w:val="null3"/>
            </w:pPr>
            <w:r>
              <w:rPr>
                <w:rFonts w:ascii="仿宋_GB2312" w:hAnsi="仿宋_GB2312" w:cs="仿宋_GB2312" w:eastAsia="仿宋_GB2312"/>
              </w:rPr>
              <w:t>对系统故障/APP载体及兼容性故障解决时间及明确发生故障后的补救措施。 措施十分完整、详细得4-6分； 措施较完整、较详细得2-4分； 措施一般，得0-2分。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人员配备科学全面、措施详细具体、针对性强计4-5分；人员配备科学全面、措施详细具体、针对性较强计3-4分； 人员配备科学全面、措施详细具体、无针对性计2-3分； 人员配备较科学全面、措施较详细具体计1-2分； 人员配备内容简单笼统计0-1分。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评审内容：①售后服务承诺②售后服务体系及人员配置③服务内容④响应时间⑤退/调换服务标的等。 评审标准：以上评审内容，每项满分3分。 提供具体详细的服务方案，方案总体思路清晰，工作安排合理，涵盖内容全面，针对性得2-3分； 提供具体详细的服务方案，方案总体思路清晰，工作安排合理，涵盖内容全面，针对性欠缺得1-2分； 提供实施方案涵盖内容不全面，无法保证服务质量得0-1分；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提供针对本项目的验收方案，方案科学全面、详细具体、针对性强得4-6分；方案科学合理、可行得2-4分； 方案欠缺、不利于实施得0-2分。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提出的有利于采购人及项目实施的合理化建议，建议内容详细具体、针对性强得6-9分，较为具体、针对性一般得3-6分，不完整、针对性差得0-3分。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供应商提供自2022年01月至今的类似项目业绩（以合同签订时间为准），每提供1份得2分，最高得10分。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 磋商报价得分=（磋商基准价/最后磋商报价）×价格权值×100 注：磋商基准价即实质性响应竞争性磋商文件要求的供应商的最低磋商报价。大于最高限价的磋商报价在评审过程中报价按无效磋商处理。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详见附件：合同文本-数字化城市管理城管通项目.docx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