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489B01">
      <w:pPr>
        <w:shd w:val="clear"/>
        <w:spacing w:line="360" w:lineRule="auto"/>
        <w:jc w:val="center"/>
        <w:rPr>
          <w:b/>
          <w:bCs/>
          <w:color w:val="auto"/>
          <w:sz w:val="52"/>
          <w:szCs w:val="52"/>
          <w:highlight w:val="none"/>
          <w:lang w:eastAsia="zh-CN"/>
        </w:rPr>
      </w:pPr>
    </w:p>
    <w:p w14:paraId="7BCC3FC6">
      <w:pPr>
        <w:shd w:val="clear"/>
        <w:spacing w:line="360" w:lineRule="auto"/>
        <w:jc w:val="center"/>
        <w:rPr>
          <w:b/>
          <w:bCs/>
          <w:color w:val="auto"/>
          <w:sz w:val="52"/>
          <w:szCs w:val="52"/>
          <w:highlight w:val="none"/>
          <w:lang w:eastAsia="zh-CN"/>
        </w:rPr>
      </w:pPr>
    </w:p>
    <w:p w14:paraId="168FC02D">
      <w:pPr>
        <w:shd w:val="clear"/>
        <w:spacing w:line="720" w:lineRule="auto"/>
        <w:jc w:val="center"/>
        <w:rPr>
          <w:b/>
          <w:bCs/>
          <w:color w:val="auto"/>
          <w:sz w:val="48"/>
          <w:szCs w:val="48"/>
          <w:highlight w:val="none"/>
          <w:lang w:eastAsia="zh-CN"/>
        </w:rPr>
      </w:pPr>
      <w:r>
        <w:rPr>
          <w:rFonts w:hint="eastAsia"/>
          <w:b/>
          <w:bCs/>
          <w:color w:val="auto"/>
          <w:sz w:val="48"/>
          <w:szCs w:val="48"/>
          <w:highlight w:val="none"/>
          <w:lang w:eastAsia="zh-CN"/>
        </w:rPr>
        <w:t>雁塔区2025年区管桥梁维护服务合同</w:t>
      </w:r>
    </w:p>
    <w:p w14:paraId="319C7AF0">
      <w:pPr>
        <w:shd w:val="clear"/>
        <w:jc w:val="center"/>
        <w:rPr>
          <w:b/>
          <w:bCs/>
          <w:color w:val="auto"/>
          <w:sz w:val="44"/>
          <w:szCs w:val="44"/>
          <w:highlight w:val="none"/>
          <w:lang w:eastAsia="zh-CN"/>
        </w:rPr>
      </w:pPr>
    </w:p>
    <w:p w14:paraId="3780B712">
      <w:pPr>
        <w:shd w:val="clear"/>
        <w:rPr>
          <w:color w:val="auto"/>
          <w:highlight w:val="none"/>
          <w:lang w:eastAsia="zh-CN"/>
        </w:rPr>
      </w:pPr>
    </w:p>
    <w:p w14:paraId="2122D8EF">
      <w:pPr>
        <w:shd w:val="clear"/>
        <w:rPr>
          <w:color w:val="auto"/>
          <w:highlight w:val="none"/>
          <w:lang w:eastAsia="zh-CN"/>
        </w:rPr>
      </w:pPr>
    </w:p>
    <w:p w14:paraId="332D1EAB">
      <w:pPr>
        <w:shd w:val="clear"/>
        <w:rPr>
          <w:color w:val="auto"/>
          <w:highlight w:val="none"/>
          <w:lang w:eastAsia="zh-CN"/>
        </w:rPr>
      </w:pPr>
    </w:p>
    <w:p w14:paraId="7DD76420">
      <w:pPr>
        <w:shd w:val="clear"/>
        <w:rPr>
          <w:color w:val="auto"/>
          <w:highlight w:val="none"/>
          <w:lang w:eastAsia="zh-CN"/>
        </w:rPr>
      </w:pPr>
    </w:p>
    <w:p w14:paraId="6789DDEF">
      <w:pPr>
        <w:shd w:val="clear"/>
        <w:rPr>
          <w:color w:val="auto"/>
          <w:highlight w:val="none"/>
          <w:lang w:eastAsia="zh-CN"/>
        </w:rPr>
      </w:pPr>
    </w:p>
    <w:p w14:paraId="7470E0DA">
      <w:pPr>
        <w:shd w:val="clear"/>
        <w:jc w:val="center"/>
        <w:rPr>
          <w:b/>
          <w:color w:val="auto"/>
          <w:sz w:val="36"/>
          <w:szCs w:val="36"/>
          <w:highlight w:val="none"/>
          <w:lang w:eastAsia="zh-CN"/>
        </w:rPr>
      </w:pPr>
      <w:r>
        <w:rPr>
          <w:rFonts w:hint="eastAsia"/>
          <w:b/>
          <w:color w:val="auto"/>
          <w:sz w:val="36"/>
          <w:szCs w:val="36"/>
          <w:highlight w:val="none"/>
          <w:lang w:eastAsia="zh-CN"/>
        </w:rPr>
        <w:t>（示范文本）</w:t>
      </w:r>
    </w:p>
    <w:p w14:paraId="07324D0D">
      <w:pPr>
        <w:shd w:val="clear"/>
        <w:rPr>
          <w:color w:val="auto"/>
          <w:highlight w:val="none"/>
          <w:lang w:eastAsia="zh-CN"/>
        </w:rPr>
      </w:pPr>
    </w:p>
    <w:p w14:paraId="517C90AD">
      <w:pPr>
        <w:shd w:val="clear"/>
        <w:rPr>
          <w:color w:val="auto"/>
          <w:highlight w:val="none"/>
          <w:lang w:eastAsia="zh-CN"/>
        </w:rPr>
      </w:pPr>
    </w:p>
    <w:p w14:paraId="7676D316">
      <w:pPr>
        <w:shd w:val="clear"/>
        <w:rPr>
          <w:color w:val="auto"/>
          <w:highlight w:val="none"/>
          <w:lang w:eastAsia="zh-CN"/>
        </w:rPr>
      </w:pPr>
    </w:p>
    <w:p w14:paraId="30B06B1B">
      <w:pPr>
        <w:shd w:val="clear"/>
        <w:rPr>
          <w:color w:val="auto"/>
          <w:highlight w:val="none"/>
          <w:lang w:eastAsia="zh-CN"/>
        </w:rPr>
      </w:pPr>
    </w:p>
    <w:p w14:paraId="2CD141AE">
      <w:pPr>
        <w:shd w:val="clear"/>
        <w:rPr>
          <w:color w:val="auto"/>
          <w:highlight w:val="none"/>
          <w:lang w:eastAsia="zh-CN"/>
        </w:rPr>
      </w:pPr>
    </w:p>
    <w:p w14:paraId="75E03297">
      <w:pPr>
        <w:shd w:val="clear"/>
        <w:rPr>
          <w:color w:val="auto"/>
          <w:highlight w:val="none"/>
          <w:lang w:eastAsia="zh-CN"/>
        </w:rPr>
      </w:pPr>
    </w:p>
    <w:p w14:paraId="3DB9F85A">
      <w:pPr>
        <w:shd w:val="clear"/>
        <w:rPr>
          <w:color w:val="auto"/>
          <w:highlight w:val="none"/>
          <w:lang w:eastAsia="zh-CN"/>
        </w:rPr>
      </w:pPr>
    </w:p>
    <w:p w14:paraId="059C3DA5">
      <w:pPr>
        <w:shd w:val="clear"/>
        <w:rPr>
          <w:color w:val="auto"/>
          <w:highlight w:val="none"/>
          <w:lang w:eastAsia="zh-CN"/>
        </w:rPr>
      </w:pPr>
    </w:p>
    <w:p w14:paraId="73324B31">
      <w:pPr>
        <w:shd w:val="clear"/>
        <w:rPr>
          <w:color w:val="auto"/>
          <w:highlight w:val="none"/>
          <w:lang w:eastAsia="zh-CN"/>
        </w:rPr>
      </w:pPr>
    </w:p>
    <w:p w14:paraId="0EAE2634">
      <w:pPr>
        <w:shd w:val="clear"/>
        <w:rPr>
          <w:color w:val="auto"/>
          <w:highlight w:val="none"/>
          <w:lang w:eastAsia="zh-CN"/>
        </w:rPr>
      </w:pPr>
    </w:p>
    <w:p w14:paraId="2F898DE2">
      <w:pPr>
        <w:shd w:val="clear"/>
        <w:rPr>
          <w:color w:val="auto"/>
          <w:highlight w:val="none"/>
          <w:lang w:eastAsia="zh-CN"/>
        </w:rPr>
      </w:pPr>
    </w:p>
    <w:p w14:paraId="311F18A5">
      <w:pPr>
        <w:shd w:val="clear"/>
        <w:rPr>
          <w:color w:val="auto"/>
          <w:highlight w:val="none"/>
          <w:lang w:eastAsia="zh-CN"/>
        </w:rPr>
      </w:pPr>
    </w:p>
    <w:p w14:paraId="2F65891F">
      <w:pPr>
        <w:shd w:val="clear"/>
        <w:adjustRightInd w:val="0"/>
        <w:snapToGrid w:val="0"/>
        <w:spacing w:line="720" w:lineRule="auto"/>
        <w:ind w:left="0" w:leftChars="0" w:firstLine="1987" w:firstLineChars="707"/>
        <w:rPr>
          <w:b/>
          <w:color w:val="auto"/>
          <w:sz w:val="28"/>
          <w:szCs w:val="28"/>
          <w:highlight w:val="none"/>
          <w:lang w:eastAsia="zh-CN"/>
        </w:rPr>
      </w:pPr>
      <w:r>
        <w:rPr>
          <w:rFonts w:hint="eastAsia"/>
          <w:b/>
          <w:color w:val="auto"/>
          <w:sz w:val="28"/>
          <w:szCs w:val="28"/>
          <w:highlight w:val="none"/>
          <w:lang w:eastAsia="zh-CN"/>
        </w:rPr>
        <w:t>甲方（全称）：</w:t>
      </w:r>
      <w:r>
        <w:rPr>
          <w:rFonts w:hint="eastAsia"/>
          <w:b/>
          <w:color w:val="auto"/>
          <w:sz w:val="28"/>
          <w:szCs w:val="28"/>
          <w:highlight w:val="none"/>
          <w:u w:val="single"/>
          <w:lang w:eastAsia="zh-CN"/>
        </w:rPr>
        <w:t xml:space="preserve">                          </w:t>
      </w:r>
    </w:p>
    <w:p w14:paraId="55BFFD04">
      <w:pPr>
        <w:shd w:val="clear"/>
        <w:adjustRightInd w:val="0"/>
        <w:snapToGrid w:val="0"/>
        <w:spacing w:line="720" w:lineRule="auto"/>
        <w:ind w:left="0" w:leftChars="0" w:firstLine="1987" w:firstLineChars="707"/>
        <w:rPr>
          <w:color w:val="auto"/>
          <w:sz w:val="28"/>
          <w:szCs w:val="28"/>
          <w:highlight w:val="none"/>
          <w:lang w:eastAsia="zh-CN"/>
        </w:rPr>
      </w:pPr>
      <w:r>
        <w:rPr>
          <w:rFonts w:hint="eastAsia"/>
          <w:b/>
          <w:color w:val="auto"/>
          <w:sz w:val="28"/>
          <w:szCs w:val="28"/>
          <w:highlight w:val="none"/>
          <w:lang w:eastAsia="zh-CN"/>
        </w:rPr>
        <w:t>乙方（全称）：</w:t>
      </w:r>
      <w:r>
        <w:rPr>
          <w:rFonts w:hint="eastAsia"/>
          <w:b/>
          <w:color w:val="auto"/>
          <w:sz w:val="28"/>
          <w:szCs w:val="28"/>
          <w:highlight w:val="none"/>
          <w:u w:val="single"/>
          <w:lang w:eastAsia="zh-CN"/>
        </w:rPr>
        <w:t xml:space="preserve">                          </w:t>
      </w:r>
    </w:p>
    <w:p w14:paraId="3B21DED7">
      <w:pPr>
        <w:shd w:val="clear"/>
        <w:adjustRightInd w:val="0"/>
        <w:snapToGrid w:val="0"/>
        <w:spacing w:line="720" w:lineRule="auto"/>
        <w:ind w:left="0" w:leftChars="0" w:firstLine="1987" w:firstLineChars="707"/>
        <w:rPr>
          <w:rFonts w:hint="eastAsia"/>
          <w:b/>
          <w:bCs w:val="0"/>
          <w:color w:val="auto"/>
          <w:sz w:val="52"/>
          <w:szCs w:val="52"/>
          <w:highlight w:val="none"/>
          <w:lang w:val="en-US" w:eastAsia="zh-CN"/>
        </w:rPr>
      </w:pPr>
      <w:r>
        <w:rPr>
          <w:rFonts w:hint="eastAsia"/>
          <w:b/>
          <w:bCs w:val="0"/>
          <w:color w:val="auto"/>
          <w:sz w:val="28"/>
          <w:szCs w:val="28"/>
          <w:highlight w:val="none"/>
          <w:lang w:val="en-US" w:eastAsia="zh-CN"/>
        </w:rPr>
        <w:t>签订日期：</w:t>
      </w:r>
      <w:r>
        <w:rPr>
          <w:rFonts w:hint="eastAsia"/>
          <w:b/>
          <w:bCs w:val="0"/>
          <w:color w:val="auto"/>
          <w:sz w:val="28"/>
          <w:szCs w:val="28"/>
          <w:highlight w:val="none"/>
          <w:u w:val="single"/>
          <w:lang w:eastAsia="zh-CN"/>
        </w:rPr>
        <w:t xml:space="preserve">      </w:t>
      </w:r>
      <w:r>
        <w:rPr>
          <w:rFonts w:hint="eastAsia"/>
          <w:b/>
          <w:bCs w:val="0"/>
          <w:color w:val="auto"/>
          <w:sz w:val="28"/>
          <w:szCs w:val="28"/>
          <w:highlight w:val="none"/>
          <w:lang w:val="en-US" w:eastAsia="zh-CN"/>
        </w:rPr>
        <w:t>年</w:t>
      </w:r>
      <w:r>
        <w:rPr>
          <w:rFonts w:hint="eastAsia"/>
          <w:b/>
          <w:bCs w:val="0"/>
          <w:color w:val="auto"/>
          <w:sz w:val="28"/>
          <w:szCs w:val="28"/>
          <w:highlight w:val="none"/>
          <w:u w:val="single"/>
          <w:lang w:eastAsia="zh-CN"/>
        </w:rPr>
        <w:t xml:space="preserve">      </w:t>
      </w:r>
      <w:r>
        <w:rPr>
          <w:rFonts w:hint="eastAsia"/>
          <w:b/>
          <w:bCs w:val="0"/>
          <w:color w:val="auto"/>
          <w:sz w:val="28"/>
          <w:szCs w:val="28"/>
          <w:highlight w:val="none"/>
          <w:lang w:val="en-US" w:eastAsia="zh-CN"/>
        </w:rPr>
        <w:t>月</w:t>
      </w:r>
      <w:r>
        <w:rPr>
          <w:rFonts w:hint="eastAsia"/>
          <w:b/>
          <w:bCs w:val="0"/>
          <w:color w:val="auto"/>
          <w:sz w:val="28"/>
          <w:szCs w:val="28"/>
          <w:highlight w:val="none"/>
          <w:u w:val="single"/>
          <w:lang w:eastAsia="zh-CN"/>
        </w:rPr>
        <w:t xml:space="preserve">      </w:t>
      </w:r>
      <w:r>
        <w:rPr>
          <w:rFonts w:hint="eastAsia"/>
          <w:b/>
          <w:bCs w:val="0"/>
          <w:color w:val="auto"/>
          <w:sz w:val="28"/>
          <w:szCs w:val="28"/>
          <w:highlight w:val="none"/>
          <w:lang w:val="en-US" w:eastAsia="zh-CN"/>
        </w:rPr>
        <w:t>日</w:t>
      </w:r>
    </w:p>
    <w:p w14:paraId="30448A50">
      <w:pPr>
        <w:shd w:val="clear"/>
        <w:adjustRightInd w:val="0"/>
        <w:snapToGrid w:val="0"/>
        <w:spacing w:line="500" w:lineRule="exact"/>
        <w:ind w:firstLine="950" w:firstLineChars="198"/>
        <w:rPr>
          <w:color w:val="auto"/>
          <w:sz w:val="24"/>
          <w:szCs w:val="24"/>
          <w:highlight w:val="none"/>
          <w:u w:val="single"/>
          <w:lang w:eastAsia="zh-CN"/>
        </w:rPr>
      </w:pPr>
      <w:r>
        <w:rPr>
          <w:rFonts w:hint="eastAsia"/>
          <w:bCs/>
          <w:color w:val="auto"/>
          <w:sz w:val="48"/>
          <w:szCs w:val="48"/>
          <w:highlight w:val="none"/>
          <w:lang w:eastAsia="zh-CN"/>
        </w:rPr>
        <w:br w:type="page"/>
      </w:r>
    </w:p>
    <w:p w14:paraId="52B56095">
      <w:pPr>
        <w:shd w:val="clear"/>
        <w:spacing w:before="120" w:beforeLines="50" w:line="408" w:lineRule="auto"/>
        <w:jc w:val="center"/>
        <w:rPr>
          <w:b/>
          <w:bCs/>
          <w:color w:val="auto"/>
          <w:sz w:val="32"/>
          <w:szCs w:val="32"/>
          <w:highlight w:val="none"/>
          <w:lang w:eastAsia="zh-CN"/>
        </w:rPr>
      </w:pPr>
      <w:r>
        <w:rPr>
          <w:rFonts w:hint="eastAsia"/>
          <w:b/>
          <w:bCs/>
          <w:color w:val="auto"/>
          <w:sz w:val="32"/>
          <w:szCs w:val="32"/>
          <w:highlight w:val="none"/>
          <w:lang w:eastAsia="zh-CN"/>
        </w:rPr>
        <w:t>第一部分  协议书</w:t>
      </w:r>
    </w:p>
    <w:p w14:paraId="117C0852">
      <w:pPr>
        <w:shd w:val="clear"/>
        <w:adjustRightInd w:val="0"/>
        <w:snapToGrid w:val="0"/>
        <w:spacing w:line="500" w:lineRule="exact"/>
        <w:ind w:firstLine="422" w:firstLineChars="200"/>
        <w:rPr>
          <w:b/>
          <w:color w:val="auto"/>
          <w:sz w:val="21"/>
          <w:szCs w:val="21"/>
          <w:highlight w:val="none"/>
          <w:lang w:eastAsia="zh-CN"/>
        </w:rPr>
      </w:pPr>
      <w:r>
        <w:rPr>
          <w:rFonts w:hint="eastAsia"/>
          <w:b/>
          <w:color w:val="auto"/>
          <w:sz w:val="21"/>
          <w:szCs w:val="21"/>
          <w:highlight w:val="none"/>
          <w:lang w:eastAsia="zh-CN"/>
        </w:rPr>
        <w:t>甲方（全称）：</w:t>
      </w:r>
      <w:r>
        <w:rPr>
          <w:rFonts w:hint="eastAsia"/>
          <w:b/>
          <w:color w:val="auto"/>
          <w:sz w:val="21"/>
          <w:szCs w:val="21"/>
          <w:highlight w:val="none"/>
          <w:u w:val="single"/>
          <w:lang w:eastAsia="zh-CN"/>
        </w:rPr>
        <w:t xml:space="preserve">                                      </w:t>
      </w:r>
    </w:p>
    <w:p w14:paraId="1322847E">
      <w:pPr>
        <w:shd w:val="clear"/>
        <w:adjustRightInd w:val="0"/>
        <w:snapToGrid w:val="0"/>
        <w:spacing w:line="500" w:lineRule="exact"/>
        <w:ind w:firstLine="422" w:firstLineChars="200"/>
        <w:rPr>
          <w:color w:val="auto"/>
          <w:sz w:val="21"/>
          <w:szCs w:val="21"/>
          <w:highlight w:val="none"/>
          <w:lang w:eastAsia="zh-CN"/>
        </w:rPr>
      </w:pPr>
      <w:r>
        <w:rPr>
          <w:rFonts w:hint="eastAsia"/>
          <w:b/>
          <w:color w:val="auto"/>
          <w:sz w:val="21"/>
          <w:szCs w:val="21"/>
          <w:highlight w:val="none"/>
          <w:lang w:eastAsia="zh-CN"/>
        </w:rPr>
        <w:t>乙方（全称）：</w:t>
      </w:r>
      <w:r>
        <w:rPr>
          <w:rFonts w:hint="eastAsia"/>
          <w:b/>
          <w:color w:val="auto"/>
          <w:sz w:val="21"/>
          <w:szCs w:val="21"/>
          <w:highlight w:val="none"/>
          <w:u w:val="single"/>
          <w:lang w:eastAsia="zh-CN"/>
        </w:rPr>
        <w:t xml:space="preserve">                                   </w:t>
      </w:r>
      <w:r>
        <w:rPr>
          <w:rFonts w:hint="eastAsia"/>
          <w:color w:val="auto"/>
          <w:sz w:val="21"/>
          <w:szCs w:val="21"/>
          <w:highlight w:val="none"/>
          <w:u w:val="single"/>
          <w:lang w:eastAsia="zh-CN"/>
        </w:rPr>
        <w:t xml:space="preserve">   </w:t>
      </w:r>
    </w:p>
    <w:p w14:paraId="00962256">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甲方就采购所需，按照政府采购程序组织竞争性磋商，确定乙方为成交供应商。依据《中华人民共和国政府采购法》、《中华人民共和国民法典》等相关法律以及竞争性磋商文件、成交供应商竞争性磋商响应文件和澄清表（函）、成交通知书，经甲、乙双方协商，达成如下条款。</w:t>
      </w:r>
    </w:p>
    <w:p w14:paraId="5394511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一、服务内容： </w:t>
      </w:r>
    </w:p>
    <w:p w14:paraId="0415C258">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1、项目名称：</w:t>
      </w:r>
      <w:r>
        <w:rPr>
          <w:rFonts w:hint="eastAsia"/>
          <w:color w:val="auto"/>
          <w:sz w:val="21"/>
          <w:szCs w:val="21"/>
          <w:highlight w:val="none"/>
          <w:u w:val="single"/>
          <w:lang w:eastAsia="zh-CN"/>
        </w:rPr>
        <w:t>雁塔区2025年区管桥梁维护服务</w:t>
      </w:r>
    </w:p>
    <w:p w14:paraId="112ED005">
      <w:pPr>
        <w:shd w:val="clear"/>
        <w:spacing w:line="500" w:lineRule="exact"/>
        <w:ind w:firstLine="420" w:firstLineChars="200"/>
        <w:rPr>
          <w:rFonts w:hint="default"/>
          <w:color w:val="auto"/>
          <w:sz w:val="21"/>
          <w:szCs w:val="21"/>
          <w:highlight w:val="none"/>
          <w:lang w:val="en-US" w:eastAsia="zh-CN"/>
        </w:rPr>
      </w:pPr>
      <w:r>
        <w:rPr>
          <w:rFonts w:hint="eastAsia"/>
          <w:color w:val="auto"/>
          <w:sz w:val="21"/>
          <w:szCs w:val="21"/>
          <w:highlight w:val="none"/>
          <w:lang w:eastAsia="zh-CN"/>
        </w:rPr>
        <w:t>2、项目概况：</w:t>
      </w:r>
      <w:r>
        <w:rPr>
          <w:rFonts w:hint="eastAsia"/>
          <w:color w:val="auto"/>
          <w:sz w:val="21"/>
          <w:szCs w:val="21"/>
          <w:highlight w:val="none"/>
          <w:u w:val="single"/>
          <w:lang w:val="en-US" w:eastAsia="zh-CN"/>
        </w:rPr>
        <w:t xml:space="preserve">为保障雁塔区区管桥梁日常通行能够正常使用，不影响人民日常生活和市容环境，需要雁塔区管辖的桥梁（含箱变等附属设施）维护、维修、巡查等工作。 </w:t>
      </w:r>
    </w:p>
    <w:p w14:paraId="4FEF7565">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二、服务地点及服务期 </w:t>
      </w:r>
    </w:p>
    <w:p w14:paraId="7F4706B0">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1、服务地点：</w:t>
      </w:r>
      <w:r>
        <w:rPr>
          <w:rFonts w:hint="eastAsia" w:cs="宋体"/>
          <w:color w:val="auto"/>
          <w:kern w:val="0"/>
          <w:sz w:val="21"/>
          <w:szCs w:val="21"/>
          <w:highlight w:val="none"/>
          <w:lang w:val="en-US" w:eastAsia="zh-CN" w:bidi="ar"/>
        </w:rPr>
        <w:t>甲方指定地点</w:t>
      </w:r>
      <w:r>
        <w:rPr>
          <w:rFonts w:hint="eastAsia" w:ascii="宋体" w:hAnsi="宋体" w:eastAsia="宋体" w:cs="宋体"/>
          <w:color w:val="auto"/>
          <w:kern w:val="0"/>
          <w:sz w:val="21"/>
          <w:szCs w:val="21"/>
          <w:highlight w:val="none"/>
          <w:lang w:val="en-US" w:eastAsia="zh-CN" w:bidi="ar"/>
        </w:rPr>
        <w:t xml:space="preserve">。 </w:t>
      </w:r>
    </w:p>
    <w:p w14:paraId="0DCB1909">
      <w:pPr>
        <w:pStyle w:val="5"/>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2、服务期</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合同签订后到本年度12月31日止</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025年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日至202</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r>
        <w:rPr>
          <w:rFonts w:hint="eastAsia" w:ascii="宋体" w:hAnsi="宋体" w:eastAsia="宋体" w:cs="宋体"/>
          <w:color w:val="auto"/>
          <w:sz w:val="21"/>
          <w:szCs w:val="21"/>
          <w:highlight w:val="none"/>
          <w:lang w:val="en-US" w:eastAsia="zh-CN"/>
        </w:rPr>
        <w:t>(具体以实际服务日期为准）</w:t>
      </w:r>
      <w:r>
        <w:rPr>
          <w:rFonts w:hint="eastAsia" w:ascii="宋体" w:hAnsi="宋体" w:eastAsia="宋体" w:cs="宋体"/>
          <w:color w:val="auto"/>
          <w:sz w:val="21"/>
          <w:szCs w:val="21"/>
          <w:highlight w:val="none"/>
          <w:lang w:eastAsia="zh-CN"/>
        </w:rPr>
        <w:t>。</w:t>
      </w:r>
    </w:p>
    <w:p w14:paraId="5FC7E3E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三、合同价款 </w:t>
      </w:r>
    </w:p>
    <w:p w14:paraId="78F8FF6B">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1、合同形式：总价合同</w:t>
      </w:r>
    </w:p>
    <w:p w14:paraId="75B3BD0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合同总价为完成本项目所要求服务内容且验收合格的所有费用，</w:t>
      </w:r>
      <w:r>
        <w:rPr>
          <w:rFonts w:hint="eastAsia" w:ascii="宋体" w:hAnsi="宋体" w:eastAsia="宋体" w:cs="宋体"/>
          <w:color w:val="auto"/>
          <w:sz w:val="21"/>
          <w:szCs w:val="21"/>
          <w:highlight w:val="none"/>
        </w:rPr>
        <w:t>总价</w:t>
      </w:r>
      <w:r>
        <w:rPr>
          <w:rFonts w:hint="eastAsia" w:ascii="宋体" w:hAnsi="宋体" w:eastAsia="宋体" w:cs="宋体"/>
          <w:color w:val="auto"/>
          <w:sz w:val="21"/>
          <w:szCs w:val="21"/>
          <w:highlight w:val="none"/>
          <w:lang w:eastAsia="zh-CN"/>
        </w:rPr>
        <w:t>包括但</w:t>
      </w:r>
      <w:r>
        <w:rPr>
          <w:rFonts w:hint="eastAsia" w:hAnsi="宋体" w:cs="宋体"/>
          <w:color w:val="auto"/>
          <w:sz w:val="21"/>
          <w:szCs w:val="21"/>
          <w:highlight w:val="none"/>
          <w:lang w:eastAsia="zh-CN"/>
        </w:rPr>
        <w:t>不限于人工费、维修费、材料费、管理费、招标代理服务费、利润、税金、风险、协调费用及完成工作准备阶段、实施阶段</w:t>
      </w:r>
      <w:r>
        <w:rPr>
          <w:rFonts w:hint="eastAsia" w:ascii="宋体" w:hAnsi="宋体" w:eastAsia="宋体" w:cs="宋体"/>
          <w:color w:val="auto"/>
          <w:sz w:val="21"/>
          <w:szCs w:val="21"/>
          <w:highlight w:val="none"/>
          <w:lang w:eastAsia="zh-CN"/>
        </w:rPr>
        <w:t>、交付阶段、验收阶段等其他一切相关费用</w:t>
      </w:r>
      <w:r>
        <w:rPr>
          <w:rFonts w:hint="eastAsia" w:ascii="宋体" w:hAnsi="宋体" w:eastAsia="宋体" w:cs="宋体"/>
          <w:color w:val="auto"/>
          <w:kern w:val="0"/>
          <w:sz w:val="21"/>
          <w:szCs w:val="21"/>
          <w:highlight w:val="none"/>
          <w:lang w:val="en-US" w:eastAsia="zh-CN" w:bidi="ar"/>
        </w:rPr>
        <w:t>。</w:t>
      </w:r>
    </w:p>
    <w:p w14:paraId="3A321AE7">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w:t>
      </w:r>
      <w:r>
        <w:rPr>
          <w:rFonts w:hint="eastAsia"/>
          <w:color w:val="auto"/>
          <w:sz w:val="21"/>
          <w:szCs w:val="21"/>
          <w:highlight w:val="none"/>
          <w:lang w:eastAsia="zh-CN"/>
        </w:rPr>
        <w:t>合同总价款为人民币</w:t>
      </w:r>
      <w:r>
        <w:rPr>
          <w:rFonts w:hint="eastAsia"/>
          <w:color w:val="auto"/>
          <w:sz w:val="21"/>
          <w:szCs w:val="21"/>
          <w:highlight w:val="none"/>
          <w:u w:val="none"/>
          <w:lang w:eastAsia="zh-CN"/>
        </w:rPr>
        <w:t>大写</w:t>
      </w:r>
      <w:r>
        <w:rPr>
          <w:rFonts w:hint="eastAsia"/>
          <w:color w:val="auto"/>
          <w:sz w:val="21"/>
          <w:szCs w:val="21"/>
          <w:highlight w:val="none"/>
          <w:u w:val="single"/>
          <w:lang w:eastAsia="zh-CN"/>
        </w:rPr>
        <w:t xml:space="preserve">          </w:t>
      </w:r>
      <w:r>
        <w:rPr>
          <w:rFonts w:hint="eastAsia"/>
          <w:color w:val="auto"/>
          <w:sz w:val="21"/>
          <w:szCs w:val="21"/>
          <w:highlight w:val="none"/>
          <w:u w:val="none"/>
          <w:lang w:eastAsia="zh-CN"/>
        </w:rPr>
        <w:t>小写（¥</w:t>
      </w:r>
      <w:r>
        <w:rPr>
          <w:rFonts w:hint="eastAsia"/>
          <w:color w:val="auto"/>
          <w:sz w:val="21"/>
          <w:szCs w:val="21"/>
          <w:highlight w:val="none"/>
          <w:u w:val="single"/>
          <w:lang w:eastAsia="zh-CN"/>
        </w:rPr>
        <w:t xml:space="preserve">       </w:t>
      </w:r>
      <w:r>
        <w:rPr>
          <w:rFonts w:hint="eastAsia"/>
          <w:color w:val="auto"/>
          <w:sz w:val="21"/>
          <w:szCs w:val="21"/>
          <w:highlight w:val="none"/>
          <w:u w:val="none"/>
          <w:lang w:eastAsia="zh-CN"/>
        </w:rPr>
        <w:t>）。</w:t>
      </w:r>
    </w:p>
    <w:p w14:paraId="6D848310">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四、款项结算 </w:t>
      </w:r>
    </w:p>
    <w:p w14:paraId="775FFC8F">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1、付款比例：</w:t>
      </w:r>
      <w:r>
        <w:rPr>
          <w:rFonts w:hint="eastAsia" w:ascii="宋体" w:hAnsi="宋体" w:eastAsia="宋体" w:cs="宋体"/>
          <w:color w:val="auto"/>
          <w:sz w:val="21"/>
          <w:szCs w:val="21"/>
          <w:highlight w:val="none"/>
        </w:rPr>
        <w:t>成果交付验收合格并经审计后，达到付款条件起</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日内，支付</w:t>
      </w:r>
      <w:r>
        <w:rPr>
          <w:rFonts w:hint="eastAsia" w:ascii="宋体" w:hAnsi="宋体" w:eastAsia="宋体" w:cs="宋体"/>
          <w:color w:val="auto"/>
          <w:sz w:val="21"/>
          <w:szCs w:val="21"/>
          <w:highlight w:val="none"/>
          <w:lang w:val="en-US" w:eastAsia="zh-CN"/>
        </w:rPr>
        <w:t>合同总金额</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val="en-US" w:eastAsia="zh-CN"/>
        </w:rPr>
        <w:t>100</w:t>
      </w:r>
      <w:r>
        <w:rPr>
          <w:rFonts w:hint="eastAsia" w:ascii="宋体" w:hAnsi="宋体" w:eastAsia="宋体" w:cs="宋体"/>
          <w:color w:val="auto"/>
          <w:sz w:val="21"/>
          <w:szCs w:val="21"/>
          <w:highlight w:val="none"/>
        </w:rPr>
        <w:t>.00%。</w:t>
      </w:r>
    </w:p>
    <w:p w14:paraId="0597E2DE">
      <w:pPr>
        <w:keepNext w:val="0"/>
        <w:keepLines w:val="0"/>
        <w:pageBreakBefore w:val="0"/>
        <w:widowControl w:val="0"/>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2、支付方式：银行转账。 </w:t>
      </w:r>
    </w:p>
    <w:p w14:paraId="4BDDAAAA">
      <w:pPr>
        <w:keepNext w:val="0"/>
        <w:keepLines w:val="0"/>
        <w:pageBreakBefore w:val="0"/>
        <w:widowControl w:val="0"/>
        <w:suppressLineNumbers w:val="0"/>
        <w:shd w:val="clear"/>
        <w:kinsoku/>
        <w:wordWrap/>
        <w:overflowPunct/>
        <w:topLinePunct w:val="0"/>
        <w:autoSpaceDE/>
        <w:autoSpaceDN/>
        <w:bidi w:val="0"/>
        <w:adjustRightInd/>
        <w:snapToGrid/>
        <w:spacing w:line="360" w:lineRule="auto"/>
        <w:ind w:firstLine="420" w:firstLineChars="200"/>
        <w:jc w:val="left"/>
        <w:textAlignment w:val="auto"/>
        <w:rPr>
          <w:color w:val="auto"/>
          <w:sz w:val="21"/>
          <w:szCs w:val="21"/>
          <w:highlight w:val="none"/>
          <w:lang w:eastAsia="zh-CN"/>
        </w:rPr>
      </w:pPr>
      <w:r>
        <w:rPr>
          <w:rFonts w:hint="eastAsia" w:ascii="宋体" w:hAnsi="宋体" w:eastAsia="宋体" w:cs="宋体"/>
          <w:color w:val="auto"/>
          <w:kern w:val="0"/>
          <w:sz w:val="21"/>
          <w:szCs w:val="21"/>
          <w:highlight w:val="none"/>
          <w:lang w:val="en-US" w:eastAsia="zh-CN" w:bidi="ar"/>
        </w:rPr>
        <w:t>3、结算方式：</w:t>
      </w:r>
      <w:r>
        <w:rPr>
          <w:rFonts w:hint="eastAsia"/>
          <w:color w:val="auto"/>
          <w:sz w:val="21"/>
          <w:szCs w:val="21"/>
          <w:highlight w:val="none"/>
          <w:lang w:eastAsia="zh-CN"/>
        </w:rPr>
        <w:t>在甲方进行每笔付款前，乙方需向甲方开具等额的增值税普通发票，因乙方未及时提供发票引起的支付延误由乙方自行承担责任。</w:t>
      </w:r>
    </w:p>
    <w:p w14:paraId="445EB61A">
      <w:pPr>
        <w:keepNext w:val="0"/>
        <w:keepLines w:val="0"/>
        <w:pageBreakBefore w:val="0"/>
        <w:widowControl/>
        <w:shd w:val="clear"/>
        <w:kinsoku/>
        <w:wordWrap/>
        <w:overflowPunct/>
        <w:topLinePunct w:val="0"/>
        <w:bidi w:val="0"/>
        <w:adjustRightInd/>
        <w:snapToGrid/>
        <w:spacing w:line="500" w:lineRule="exact"/>
        <w:ind w:firstLine="420" w:firstLineChars="200"/>
        <w:textAlignment w:val="auto"/>
        <w:rPr>
          <w:color w:val="auto"/>
          <w:sz w:val="21"/>
          <w:szCs w:val="21"/>
          <w:highlight w:val="none"/>
          <w:lang w:eastAsia="zh-CN"/>
        </w:rPr>
      </w:pPr>
      <w:r>
        <w:rPr>
          <w:rFonts w:hint="eastAsia"/>
          <w:color w:val="auto"/>
          <w:sz w:val="21"/>
          <w:szCs w:val="21"/>
          <w:highlight w:val="none"/>
          <w:lang w:val="en-US" w:eastAsia="zh-CN"/>
        </w:rPr>
        <w:t>4</w:t>
      </w:r>
      <w:r>
        <w:rPr>
          <w:rFonts w:hint="eastAsia"/>
          <w:color w:val="auto"/>
          <w:sz w:val="21"/>
          <w:szCs w:val="21"/>
          <w:highlight w:val="none"/>
          <w:lang w:eastAsia="zh-CN"/>
        </w:rPr>
        <w:t>、甲方通过银行转账的方式向乙方支付协议款项，乙方提供银行账号。</w:t>
      </w:r>
    </w:p>
    <w:p w14:paraId="2418E526">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val="en-US" w:eastAsia="zh-CN"/>
        </w:rPr>
        <w:t>5</w:t>
      </w:r>
      <w:r>
        <w:rPr>
          <w:rFonts w:hint="eastAsia"/>
          <w:color w:val="auto"/>
          <w:sz w:val="21"/>
          <w:szCs w:val="21"/>
          <w:highlight w:val="none"/>
          <w:lang w:eastAsia="zh-CN"/>
        </w:rPr>
        <w:t>、乙方指定账户为：</w:t>
      </w:r>
    </w:p>
    <w:p w14:paraId="6FB0F372">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账户名称：</w:t>
      </w:r>
      <w:r>
        <w:rPr>
          <w:rFonts w:hint="eastAsia"/>
          <w:color w:val="auto"/>
          <w:sz w:val="21"/>
          <w:szCs w:val="21"/>
          <w:highlight w:val="none"/>
          <w:u w:val="single"/>
          <w:lang w:eastAsia="zh-CN"/>
        </w:rPr>
        <w:t xml:space="preserve">                </w:t>
      </w:r>
    </w:p>
    <w:p w14:paraId="0EA95EA5">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开户行：</w:t>
      </w:r>
      <w:r>
        <w:rPr>
          <w:rFonts w:hint="eastAsia"/>
          <w:color w:val="auto"/>
          <w:sz w:val="21"/>
          <w:szCs w:val="21"/>
          <w:highlight w:val="none"/>
          <w:u w:val="single"/>
          <w:lang w:eastAsia="zh-CN"/>
        </w:rPr>
        <w:t xml:space="preserve">                  </w:t>
      </w:r>
    </w:p>
    <w:p w14:paraId="6EFA7FA3">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color w:val="auto"/>
          <w:sz w:val="21"/>
          <w:szCs w:val="21"/>
          <w:highlight w:val="none"/>
          <w:lang w:eastAsia="zh-CN"/>
        </w:rPr>
        <w:t>账</w:t>
      </w:r>
      <w:r>
        <w:rPr>
          <w:rFonts w:hint="eastAsia"/>
          <w:color w:val="auto"/>
          <w:sz w:val="21"/>
          <w:szCs w:val="21"/>
          <w:highlight w:val="none"/>
          <w:lang w:val="en-US" w:eastAsia="zh-CN"/>
        </w:rPr>
        <w:t>号</w:t>
      </w:r>
      <w:r>
        <w:rPr>
          <w:rFonts w:hint="eastAsia"/>
          <w:color w:val="auto"/>
          <w:sz w:val="21"/>
          <w:szCs w:val="21"/>
          <w:highlight w:val="none"/>
          <w:lang w:eastAsia="zh-CN"/>
        </w:rPr>
        <w:t>：</w:t>
      </w:r>
      <w:r>
        <w:rPr>
          <w:rFonts w:hint="eastAsia"/>
          <w:color w:val="auto"/>
          <w:sz w:val="21"/>
          <w:szCs w:val="21"/>
          <w:highlight w:val="none"/>
          <w:u w:val="single"/>
          <w:lang w:eastAsia="zh-CN"/>
        </w:rPr>
        <w:t xml:space="preserve">         </w:t>
      </w:r>
      <w:r>
        <w:rPr>
          <w:rFonts w:hint="eastAsia"/>
          <w:color w:val="auto"/>
          <w:sz w:val="21"/>
          <w:szCs w:val="21"/>
          <w:highlight w:val="none"/>
          <w:u w:val="single"/>
          <w:lang w:val="en-US" w:eastAsia="zh-CN"/>
        </w:rPr>
        <w:t xml:space="preserve">   </w:t>
      </w:r>
      <w:r>
        <w:rPr>
          <w:rFonts w:hint="eastAsia"/>
          <w:color w:val="auto"/>
          <w:sz w:val="21"/>
          <w:szCs w:val="21"/>
          <w:highlight w:val="none"/>
          <w:u w:val="single"/>
          <w:lang w:eastAsia="zh-CN"/>
        </w:rPr>
        <w:t xml:space="preserve">       </w:t>
      </w:r>
    </w:p>
    <w:p w14:paraId="5F24062C">
      <w:pPr>
        <w:keepNext w:val="0"/>
        <w:keepLines w:val="0"/>
        <w:pageBreakBefore w:val="0"/>
        <w:widowControl/>
        <w:numPr>
          <w:ilvl w:val="0"/>
          <w:numId w:val="1"/>
        </w:numPr>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color w:val="auto"/>
          <w:kern w:val="0"/>
          <w:sz w:val="21"/>
          <w:szCs w:val="21"/>
          <w:highlight w:val="none"/>
          <w:lang w:val="en-US" w:eastAsia="zh-CN" w:bidi="ar"/>
        </w:rPr>
        <w:t>服务内容及要求</w:t>
      </w:r>
    </w:p>
    <w:p w14:paraId="159C2393">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（一）服务内容：雁塔区区管桥梁维护、维修、巡查等。</w:t>
      </w:r>
    </w:p>
    <w:p w14:paraId="56C75044">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（二）技术要求：保证每天桥梁正常通行、电梯箱变正常运行和市容环境。</w:t>
      </w:r>
    </w:p>
    <w:p w14:paraId="6EFDF1A2">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（三）服务要求：</w:t>
      </w:r>
    </w:p>
    <w:p w14:paraId="0BD09D7C">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1.维修效果：保证每天辖区桥梁正常通行，电梯箱变正常运行，当天损坏的电梯、护栏、箱变等当天进行维修或更换，必须确保人民日常通行和市容环境不受影响。</w:t>
      </w:r>
    </w:p>
    <w:p w14:paraId="1B99FFE4">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2.维修工艺：每天每天必须有4人上对人行天桥巡查，发现问题立刻处理问题，确保人民日常通行和市容环境不受影响。</w:t>
      </w:r>
    </w:p>
    <w:p w14:paraId="25297815">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3.人员设备要求</w:t>
      </w:r>
    </w:p>
    <w:p w14:paraId="4EB37587">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3.1配备专业的电梯维修人员2名，日常巡查维护维修4名，天桥管理人员5名</w:t>
      </w:r>
    </w:p>
    <w:p w14:paraId="515EBC38">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3.2有2辆及以上专业维修车辆，升降车、发电机、电焊机、空压机等维修工具及设备。</w:t>
      </w:r>
    </w:p>
    <w:p w14:paraId="77D0BEDB">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4.安全管理要求</w:t>
      </w:r>
    </w:p>
    <w:p w14:paraId="086DA33E">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zh-CN" w:eastAsia="zh-CN" w:bidi="ar"/>
        </w:rPr>
      </w:pPr>
      <w:r>
        <w:rPr>
          <w:rFonts w:hint="eastAsia" w:ascii="宋体" w:hAnsi="宋体" w:eastAsia="宋体" w:cs="宋体"/>
          <w:color w:val="auto"/>
          <w:sz w:val="21"/>
          <w:szCs w:val="21"/>
          <w:highlight w:val="none"/>
          <w:lang w:val="en-US" w:eastAsia="zh-CN"/>
        </w:rPr>
        <w:t>做好人行天桥13部电梯的安全管理工作，因电梯故障导致行人受伤、桥梁受损，由维护单位进行赔付。</w:t>
      </w:r>
    </w:p>
    <w:p w14:paraId="14DA35AF">
      <w:pPr>
        <w:keepNext w:val="0"/>
        <w:keepLines w:val="0"/>
        <w:pageBreakBefore w:val="0"/>
        <w:widowControl/>
        <w:numPr>
          <w:ilvl w:val="0"/>
          <w:numId w:val="1"/>
        </w:numPr>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双方的权利和义务 </w:t>
      </w:r>
    </w:p>
    <w:p w14:paraId="360CB322">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（一）甲方的权利与义务 </w:t>
      </w:r>
    </w:p>
    <w:p w14:paraId="31D54EF8">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1、甲方有权随时对乙方工作及工作量进行抽查。乙方应按要求报送工作计划、工作总结、工作方案及问题整改回复等材料。</w:t>
      </w:r>
    </w:p>
    <w:p w14:paraId="4A6419E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2、甲方有权定期核实乙方的工作，监督检查工作质量，下发整改通知单。</w:t>
      </w:r>
    </w:p>
    <w:p w14:paraId="687E7843">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3、为保证工作正常顺利进行，甲方应在职责范围内为乙方工作提供便利。</w:t>
      </w:r>
    </w:p>
    <w:p w14:paraId="53CB6EB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4、甲方负责指定专人监督和检查并及时验收乙方工作。</w:t>
      </w:r>
    </w:p>
    <w:p w14:paraId="358286FF">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5、甲方有权确定工作人数配置。乙方须按照甲方核定人数及标准开展相关工作。</w:t>
      </w:r>
    </w:p>
    <w:p w14:paraId="62F33CBA">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6、按期支付服务费用给乙方。 </w:t>
      </w:r>
    </w:p>
    <w:p w14:paraId="098F9FA2">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（二）乙方的权利与义务 </w:t>
      </w:r>
    </w:p>
    <w:p w14:paraId="19365095">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1、乙方应严格落实工作要求，对易出现问题的环节要增强工作力度，重点区域实行专人责任制，确保管护范围内工作无死角、无遗漏。</w:t>
      </w:r>
    </w:p>
    <w:p w14:paraId="1EE2B1EA">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2、乙方应按甲方要求报送工作计划、工作总结、工作方案及问题整改回复等材料。</w:t>
      </w:r>
    </w:p>
    <w:p w14:paraId="48DCEDB2">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3、乙方应按照省市相关规定，保障工作人员合法权益，按标准及时发放工资福利。</w:t>
      </w:r>
    </w:p>
    <w:p w14:paraId="324378CE">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乙方应根据本合同条款，人员管理制度，负责对工人进行安全教育，岗前培训，提供安全作业的一切措施，并承担相应的安全责任及费用，切实加强管理，使各项工作落到实处，保证日常工作达到甲方的要求。</w:t>
      </w:r>
    </w:p>
    <w:p w14:paraId="0BF4407F">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5、乙方工作人员在履行本合同义务的过程中发生人身伤害或劳务纠纷均与甲方无关，由乙方自行处理，并承担由此发生的经济费用。</w:t>
      </w:r>
    </w:p>
    <w:p w14:paraId="6C7B1519">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6、如遇市上或区重大活动和庆典节日，需要乙方突击加班进行维护时，乙方应无条件按照甲方提出的要求及时安排人员，按时保质保量完成。</w:t>
      </w:r>
    </w:p>
    <w:p w14:paraId="28C6E238">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7、乙方应根据市、区安全管理要求，履行安全主体责任，确保全年无安全事故。</w:t>
      </w:r>
    </w:p>
    <w:p w14:paraId="547C6EB8">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8、乙方应做好日常检查、定期保养、维修工作。</w:t>
      </w:r>
    </w:p>
    <w:p w14:paraId="52A75F4E">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9、乙方的工作人员必须严格遵守甲方的规章制度，以良好的形象和积极的工作态度，按甲方要求开展工作。</w:t>
      </w:r>
    </w:p>
    <w:p w14:paraId="00B8A1BB">
      <w:pPr>
        <w:pStyle w:val="5"/>
        <w:keepNext w:val="0"/>
        <w:keepLines w:val="0"/>
        <w:pageBreakBefore w:val="0"/>
        <w:widowControl/>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10、乙方应服从甲方统筹管理并按流程开展工作。</w:t>
      </w:r>
    </w:p>
    <w:p w14:paraId="301458CC">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七、服务质量保证 </w:t>
      </w:r>
    </w:p>
    <w:p w14:paraId="1B24F33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1、乙方需建立高效的管理团队，项目团队组成合理。 </w:t>
      </w:r>
    </w:p>
    <w:p w14:paraId="0E3D189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2、乙方需派一名项目负责人，直接与甲方沟通，项目经理接收甲方提出的问题与要求，并及时反馈给工作组，解决在项目实施过程中遇到的问题。 </w:t>
      </w:r>
    </w:p>
    <w:p w14:paraId="12C1B0A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3、项目在实施过程中会出现不可预料的需求变更，乙方需积极配合甲方的需求变更，并按照变更后的需求继续实施。 </w:t>
      </w:r>
    </w:p>
    <w:p w14:paraId="56C6709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4、乙方需设有详细的技术资料档案和服务档案以便于更好地提供服务，项目结束后乙方须向甲方提交所有实施方案流程及说明文档。 </w:t>
      </w:r>
    </w:p>
    <w:p w14:paraId="53A6F5A3">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八、其他事项 </w:t>
      </w:r>
    </w:p>
    <w:p w14:paraId="639A1F28">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1、乙方不得转让、分包给其它单位或个人。 </w:t>
      </w:r>
    </w:p>
    <w:p w14:paraId="7161BEB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2、乙方的响应文件和承诺等内容将列入合同。 </w:t>
      </w:r>
    </w:p>
    <w:p w14:paraId="693240F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cs="宋体"/>
          <w:b/>
          <w:bCs/>
          <w:color w:val="auto"/>
          <w:kern w:val="0"/>
          <w:sz w:val="21"/>
          <w:szCs w:val="21"/>
          <w:highlight w:val="none"/>
          <w:lang w:val="en-US" w:eastAsia="zh-CN" w:bidi="ar"/>
        </w:rPr>
        <w:t>九</w:t>
      </w:r>
      <w:r>
        <w:rPr>
          <w:rFonts w:hint="eastAsia" w:ascii="宋体" w:hAnsi="宋体" w:eastAsia="宋体" w:cs="宋体"/>
          <w:b/>
          <w:bCs/>
          <w:color w:val="auto"/>
          <w:kern w:val="0"/>
          <w:sz w:val="21"/>
          <w:szCs w:val="21"/>
          <w:highlight w:val="none"/>
          <w:lang w:val="en-US" w:eastAsia="zh-CN" w:bidi="ar"/>
        </w:rPr>
        <w:t xml:space="preserve">、验收 </w:t>
      </w:r>
    </w:p>
    <w:p w14:paraId="4F34550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（一）本项目验收费用，由乙方自行承担。 </w:t>
      </w:r>
    </w:p>
    <w:p w14:paraId="6FCD7BBC">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（二）服务期满后，由乙方向甲方递交验收通知书，经甲方确认后，组织乙方进行验收。验收合格后，填写验收单作为对本次服务的最终认可。 </w:t>
      </w:r>
    </w:p>
    <w:p w14:paraId="047A06C2">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（三）验收依据： </w:t>
      </w:r>
    </w:p>
    <w:p w14:paraId="1426D11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（1）本合同及附加文本； </w:t>
      </w:r>
    </w:p>
    <w:p w14:paraId="79EB4E2D">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（2）磋商文件、成交供应商的响应文件及澄清（承诺）函； </w:t>
      </w:r>
    </w:p>
    <w:p w14:paraId="21FC8ED1">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default"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（3）国家相应的标准、规范</w:t>
      </w:r>
      <w:r>
        <w:rPr>
          <w:rFonts w:hint="eastAsia" w:cs="宋体"/>
          <w:color w:val="auto"/>
          <w:kern w:val="0"/>
          <w:sz w:val="21"/>
          <w:szCs w:val="21"/>
          <w:highlight w:val="none"/>
          <w:lang w:val="en-US" w:eastAsia="zh-CN" w:bidi="ar"/>
        </w:rPr>
        <w:t>。</w:t>
      </w:r>
    </w:p>
    <w:p w14:paraId="1C041D2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十、违约责任 </w:t>
      </w:r>
    </w:p>
    <w:p w14:paraId="62406A38">
      <w:pPr>
        <w:shd w:val="clear"/>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1、任何一方未履行本合同项下的条款均被视为违约。除因不可抗力（即因地震、火灾等自然灾害、战争、政府和军队行为等）造成合同无法履行外，任何一方不得单方面中止合同。</w:t>
      </w:r>
    </w:p>
    <w:p w14:paraId="03A3E441">
      <w:pPr>
        <w:shd w:val="clear"/>
        <w:spacing w:line="500" w:lineRule="exact"/>
        <w:ind w:firstLine="420" w:firstLineChars="200"/>
        <w:rPr>
          <w:rFonts w:hint="eastAsia"/>
          <w:color w:val="auto"/>
          <w:sz w:val="21"/>
          <w:szCs w:val="21"/>
          <w:highlight w:val="none"/>
          <w:lang w:eastAsia="zh-CN"/>
        </w:rPr>
      </w:pPr>
      <w:r>
        <w:rPr>
          <w:rFonts w:hint="eastAsia"/>
          <w:color w:val="auto"/>
          <w:sz w:val="21"/>
          <w:szCs w:val="21"/>
          <w:highlight w:val="none"/>
          <w:lang w:eastAsia="zh-CN"/>
        </w:rPr>
        <w:t>2、任何一方违反合同所规定条款，均构成违约，违约方必须承担由此给对方造成的经济损失。</w:t>
      </w:r>
    </w:p>
    <w:p w14:paraId="70CCC586">
      <w:pPr>
        <w:shd w:val="clear"/>
        <w:spacing w:line="500" w:lineRule="exact"/>
        <w:ind w:firstLine="420" w:firstLineChars="200"/>
        <w:rPr>
          <w:rFonts w:hint="eastAsia"/>
          <w:color w:val="auto"/>
          <w:sz w:val="21"/>
          <w:szCs w:val="21"/>
          <w:highlight w:val="none"/>
          <w:lang w:eastAsia="zh-CN"/>
        </w:rPr>
      </w:pPr>
      <w:r>
        <w:rPr>
          <w:rFonts w:hint="eastAsia"/>
          <w:color w:val="auto"/>
          <w:sz w:val="21"/>
          <w:szCs w:val="21"/>
          <w:highlight w:val="none"/>
          <w:lang w:eastAsia="zh-CN"/>
        </w:rPr>
        <w:t>3、乙方在履行本合同中给甲方、自身及第三者造成的任何损害，乙方应承担全部赔偿责任。</w:t>
      </w:r>
    </w:p>
    <w:p w14:paraId="102DB4F6">
      <w:pPr>
        <w:shd w:val="clear"/>
        <w:spacing w:line="500" w:lineRule="exact"/>
        <w:ind w:firstLine="420" w:firstLineChars="200"/>
        <w:rPr>
          <w:rFonts w:hint="eastAsia" w:ascii="宋体" w:hAnsi="宋体" w:eastAsia="宋体" w:cs="宋体"/>
          <w:b w:val="0"/>
          <w:bCs w:val="0"/>
          <w:color w:val="auto"/>
          <w:sz w:val="21"/>
          <w:szCs w:val="21"/>
          <w:highlight w:val="none"/>
          <w:lang w:eastAsia="zh-CN"/>
        </w:rPr>
      </w:pPr>
      <w:r>
        <w:rPr>
          <w:rFonts w:hint="eastAsia"/>
          <w:color w:val="auto"/>
          <w:sz w:val="21"/>
          <w:szCs w:val="21"/>
          <w:highlight w:val="none"/>
          <w:lang w:eastAsia="zh-CN"/>
        </w:rPr>
        <w:t>4、</w:t>
      </w:r>
      <w:r>
        <w:rPr>
          <w:rFonts w:hint="eastAsia" w:ascii="宋体" w:hAnsi="宋体" w:eastAsia="宋体" w:cs="宋体"/>
          <w:b w:val="0"/>
          <w:bCs w:val="0"/>
          <w:color w:val="auto"/>
          <w:sz w:val="21"/>
          <w:szCs w:val="21"/>
          <w:highlight w:val="none"/>
          <w:lang w:eastAsia="zh-CN"/>
        </w:rPr>
        <w:t>未按合同要求提供服务或服务质量不能满足本次项目要求，甲方有权终止合同和对乙方违约行为进行追究，同时按有关规定进行相应的处罚。</w:t>
      </w:r>
    </w:p>
    <w:p w14:paraId="558B027B">
      <w:pPr>
        <w:shd w:val="clear"/>
        <w:spacing w:line="500" w:lineRule="exact"/>
        <w:ind w:firstLine="420" w:firstLineChars="200"/>
        <w:rPr>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5、</w:t>
      </w:r>
      <w:r>
        <w:rPr>
          <w:rFonts w:hint="eastAsia"/>
          <w:color w:val="auto"/>
          <w:sz w:val="21"/>
          <w:szCs w:val="21"/>
          <w:highlight w:val="none"/>
          <w:lang w:eastAsia="zh-CN"/>
        </w:rPr>
        <w:t>依据《中华人民共和国民法典》、《中华人民共和国政府采购法》的相关条款和本合同约定，乙方未全面履行合同义务或者发生违约，甲方有权终止合同，依法向乙方要求经济索赔，并报请政府采购监督管理机关进行相应的行政处罚。甲方违约的，应当赔偿给乙方造成的经济损失。</w:t>
      </w:r>
    </w:p>
    <w:p w14:paraId="59648558">
      <w:pPr>
        <w:shd w:val="clear"/>
        <w:spacing w:line="500" w:lineRule="exact"/>
        <w:ind w:firstLine="422" w:firstLineChars="200"/>
        <w:rPr>
          <w:b/>
          <w:color w:val="auto"/>
          <w:sz w:val="21"/>
          <w:szCs w:val="21"/>
          <w:highlight w:val="none"/>
          <w:lang w:eastAsia="zh-CN"/>
        </w:rPr>
      </w:pPr>
      <w:r>
        <w:rPr>
          <w:rFonts w:hint="eastAsia"/>
          <w:b/>
          <w:color w:val="auto"/>
          <w:sz w:val="21"/>
          <w:szCs w:val="21"/>
          <w:highlight w:val="none"/>
          <w:lang w:eastAsia="zh-CN"/>
        </w:rPr>
        <w:t>十</w:t>
      </w:r>
      <w:r>
        <w:rPr>
          <w:rFonts w:hint="eastAsia"/>
          <w:b/>
          <w:color w:val="auto"/>
          <w:sz w:val="21"/>
          <w:szCs w:val="21"/>
          <w:highlight w:val="none"/>
          <w:lang w:val="en-US" w:eastAsia="zh-CN"/>
        </w:rPr>
        <w:t>一</w:t>
      </w:r>
      <w:r>
        <w:rPr>
          <w:rFonts w:hint="eastAsia"/>
          <w:b/>
          <w:color w:val="auto"/>
          <w:sz w:val="21"/>
          <w:szCs w:val="21"/>
          <w:highlight w:val="none"/>
          <w:lang w:eastAsia="zh-CN"/>
        </w:rPr>
        <w:t>、监督和管理</w:t>
      </w:r>
    </w:p>
    <w:p w14:paraId="417EA81B">
      <w:pPr>
        <w:shd w:val="clear"/>
        <w:spacing w:line="500" w:lineRule="exact"/>
        <w:ind w:firstLine="420" w:firstLineChars="200"/>
        <w:rPr>
          <w:bCs/>
          <w:color w:val="auto"/>
          <w:sz w:val="21"/>
          <w:szCs w:val="21"/>
          <w:highlight w:val="none"/>
          <w:lang w:eastAsia="zh-CN"/>
        </w:rPr>
      </w:pPr>
      <w:r>
        <w:rPr>
          <w:rFonts w:hint="eastAsia"/>
          <w:bCs/>
          <w:color w:val="auto"/>
          <w:sz w:val="21"/>
          <w:szCs w:val="21"/>
          <w:highlight w:val="none"/>
          <w:lang w:eastAsia="zh-CN"/>
        </w:rPr>
        <w:t>1、政府采购合同履行中，甲方需追加与合同标的相同的工程或者服务的，在不改变合同其他条款的前提下，可以与乙方协商签订补充合同，但所有补充合同的采购金额不得超过原合同采购金额的百分之十。</w:t>
      </w:r>
    </w:p>
    <w:p w14:paraId="0BD3145B">
      <w:pPr>
        <w:shd w:val="clear"/>
        <w:spacing w:line="500" w:lineRule="exact"/>
        <w:ind w:firstLine="420" w:firstLineChars="200"/>
        <w:rPr>
          <w:bCs/>
          <w:color w:val="auto"/>
          <w:sz w:val="21"/>
          <w:szCs w:val="21"/>
          <w:highlight w:val="none"/>
          <w:lang w:eastAsia="zh-CN"/>
        </w:rPr>
      </w:pPr>
      <w:r>
        <w:rPr>
          <w:rFonts w:hint="eastAsia"/>
          <w:bCs/>
          <w:color w:val="auto"/>
          <w:sz w:val="21"/>
          <w:szCs w:val="21"/>
          <w:highlight w:val="none"/>
          <w:lang w:eastAsia="zh-CN"/>
        </w:rPr>
        <w:t>2、甲乙双方均应自觉配合有关监督管理部门对合同履行情况的监督检查，如实反映情况，提供有关资料；否则，将对有关单位、当事人按照有关规定予以处罚。</w:t>
      </w:r>
    </w:p>
    <w:p w14:paraId="2B6CB5DC">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十</w:t>
      </w:r>
      <w:r>
        <w:rPr>
          <w:rFonts w:hint="eastAsia" w:cs="宋体"/>
          <w:b/>
          <w:bCs/>
          <w:color w:val="auto"/>
          <w:kern w:val="0"/>
          <w:sz w:val="21"/>
          <w:szCs w:val="21"/>
          <w:highlight w:val="none"/>
          <w:lang w:val="en-US" w:eastAsia="zh-CN" w:bidi="ar"/>
        </w:rPr>
        <w:t>二</w:t>
      </w:r>
      <w:r>
        <w:rPr>
          <w:rFonts w:hint="eastAsia" w:ascii="宋体" w:hAnsi="宋体" w:eastAsia="宋体" w:cs="宋体"/>
          <w:b/>
          <w:bCs/>
          <w:color w:val="auto"/>
          <w:kern w:val="0"/>
          <w:sz w:val="21"/>
          <w:szCs w:val="21"/>
          <w:highlight w:val="none"/>
          <w:lang w:val="en-US" w:eastAsia="zh-CN" w:bidi="ar"/>
        </w:rPr>
        <w:t xml:space="preserve">、合同争议解决的方式 </w:t>
      </w:r>
    </w:p>
    <w:p w14:paraId="7EFBF48C">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1、本合同须经甲、乙双方的法定代表人（授权代表）在合同书上签字并加盖本单位公章后正式生效。 </w:t>
      </w:r>
    </w:p>
    <w:p w14:paraId="224C1E0E">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2、合同生效后，甲、乙双方须严格执行本合同条款的规定，全面履行合同，违者按《中华人民共和国民法典》的有关规定承担相应责任。 </w:t>
      </w:r>
    </w:p>
    <w:p w14:paraId="6A8631F9">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lang w:eastAsia="zh-CN"/>
        </w:rPr>
        <w:t>双方因履行本合同而引起的争议或与本合同有关的争议，双方通过友好协商解决。协商不成，双方均应向甲方住所地人民法院诉讼解决。</w:t>
      </w:r>
    </w:p>
    <w:p w14:paraId="48A49E38">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4、本合同一式</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份，甲乙双方各执</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份。 </w:t>
      </w:r>
    </w:p>
    <w:p w14:paraId="72AE3197">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5、本合同如有未尽事宜，甲、乙双方协商解决。 </w:t>
      </w:r>
    </w:p>
    <w:p w14:paraId="6B1D5BB4">
      <w:pPr>
        <w:shd w:val="clear"/>
        <w:rPr>
          <w:rFonts w:hint="eastAsia"/>
          <w:color w:val="auto"/>
          <w:sz w:val="21"/>
          <w:szCs w:val="21"/>
          <w:highlight w:val="none"/>
          <w:lang w:eastAsia="zh-CN"/>
        </w:rPr>
      </w:pPr>
      <w:r>
        <w:rPr>
          <w:rFonts w:hint="eastAsia"/>
          <w:color w:val="auto"/>
          <w:sz w:val="21"/>
          <w:szCs w:val="21"/>
          <w:highlight w:val="none"/>
          <w:lang w:eastAsia="zh-CN"/>
        </w:rPr>
        <w:br w:type="page"/>
      </w:r>
    </w:p>
    <w:p w14:paraId="6A2A71DD">
      <w:pPr>
        <w:shd w:val="clear"/>
        <w:adjustRightInd w:val="0"/>
        <w:snapToGrid w:val="0"/>
        <w:spacing w:line="500" w:lineRule="exact"/>
        <w:ind w:firstLine="415" w:firstLineChars="198"/>
        <w:rPr>
          <w:rFonts w:hint="eastAsia"/>
          <w:color w:val="auto"/>
          <w:sz w:val="21"/>
          <w:szCs w:val="21"/>
          <w:highlight w:val="none"/>
          <w:lang w:val="en-US" w:eastAsia="zh-CN"/>
        </w:rPr>
      </w:pPr>
      <w:r>
        <w:rPr>
          <w:rFonts w:hint="eastAsia"/>
          <w:color w:val="auto"/>
          <w:sz w:val="21"/>
          <w:szCs w:val="21"/>
          <w:highlight w:val="none"/>
          <w:lang w:val="en-US" w:eastAsia="zh-CN"/>
        </w:rPr>
        <w:t>本页为签章页，无正文。</w:t>
      </w:r>
    </w:p>
    <w:p w14:paraId="06DEDB77">
      <w:pPr>
        <w:pStyle w:val="2"/>
        <w:shd w:val="clear"/>
        <w:rPr>
          <w:rFonts w:hint="default"/>
          <w:highlight w:val="none"/>
          <w:lang w:val="en-US" w:eastAsia="zh-CN"/>
        </w:rPr>
      </w:pPr>
    </w:p>
    <w:p w14:paraId="70E72B8D">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甲方：</w:t>
      </w:r>
      <w:r>
        <w:rPr>
          <w:rFonts w:hint="eastAsia"/>
          <w:color w:val="auto"/>
          <w:sz w:val="21"/>
          <w:szCs w:val="21"/>
          <w:highlight w:val="none"/>
          <w:u w:val="single"/>
          <w:lang w:eastAsia="zh-CN"/>
        </w:rPr>
        <w:t xml:space="preserve">   （盖章）         </w:t>
      </w:r>
      <w:r>
        <w:rPr>
          <w:rFonts w:hint="eastAsia"/>
          <w:color w:val="auto"/>
          <w:sz w:val="21"/>
          <w:szCs w:val="21"/>
          <w:highlight w:val="none"/>
          <w:lang w:eastAsia="zh-CN"/>
        </w:rPr>
        <w:t xml:space="preserve">                        乙方：</w:t>
      </w:r>
      <w:r>
        <w:rPr>
          <w:rFonts w:hint="eastAsia"/>
          <w:color w:val="auto"/>
          <w:sz w:val="21"/>
          <w:szCs w:val="21"/>
          <w:highlight w:val="none"/>
          <w:u w:val="single"/>
          <w:lang w:eastAsia="zh-CN"/>
        </w:rPr>
        <w:t xml:space="preserve">      （盖章）     </w:t>
      </w:r>
    </w:p>
    <w:p w14:paraId="63741FC2">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地  址：</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地  址：</w:t>
      </w:r>
      <w:r>
        <w:rPr>
          <w:rFonts w:hint="eastAsia"/>
          <w:color w:val="auto"/>
          <w:sz w:val="21"/>
          <w:szCs w:val="21"/>
          <w:highlight w:val="none"/>
          <w:u w:val="single"/>
          <w:lang w:eastAsia="zh-CN"/>
        </w:rPr>
        <w:t xml:space="preserve">                     </w:t>
      </w:r>
    </w:p>
    <w:p w14:paraId="08E34A11">
      <w:pPr>
        <w:shd w:val="clear"/>
        <w:adjustRightInd w:val="0"/>
        <w:snapToGrid w:val="0"/>
        <w:spacing w:line="500" w:lineRule="exact"/>
        <w:ind w:firstLine="420" w:firstLineChars="200"/>
        <w:rPr>
          <w:color w:val="auto"/>
          <w:sz w:val="21"/>
          <w:szCs w:val="21"/>
          <w:highlight w:val="none"/>
          <w:lang w:eastAsia="zh-CN"/>
        </w:rPr>
      </w:pPr>
      <w:r>
        <w:rPr>
          <w:rFonts w:hint="eastAsia"/>
          <w:color w:val="auto"/>
          <w:sz w:val="21"/>
          <w:szCs w:val="21"/>
          <w:highlight w:val="none"/>
          <w:lang w:eastAsia="zh-CN"/>
        </w:rPr>
        <w:t>邮政编码：</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邮政编码：</w:t>
      </w:r>
      <w:r>
        <w:rPr>
          <w:rFonts w:hint="eastAsia"/>
          <w:color w:val="auto"/>
          <w:sz w:val="21"/>
          <w:szCs w:val="21"/>
          <w:highlight w:val="none"/>
          <w:u w:val="single"/>
          <w:lang w:eastAsia="zh-CN"/>
        </w:rPr>
        <w:t xml:space="preserve">                   </w:t>
      </w:r>
    </w:p>
    <w:p w14:paraId="1E08C990">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法定代表人或其授权                                法定代表人或其授权</w:t>
      </w:r>
    </w:p>
    <w:p w14:paraId="00FA8DE7">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的代理人：</w:t>
      </w:r>
      <w:r>
        <w:rPr>
          <w:rFonts w:hint="eastAsia"/>
          <w:color w:val="auto"/>
          <w:sz w:val="21"/>
          <w:szCs w:val="21"/>
          <w:highlight w:val="none"/>
          <w:u w:val="single"/>
          <w:lang w:eastAsia="zh-CN"/>
        </w:rPr>
        <w:t xml:space="preserve">（签字或盖章）   </w:t>
      </w:r>
      <w:r>
        <w:rPr>
          <w:rFonts w:hint="eastAsia"/>
          <w:color w:val="auto"/>
          <w:sz w:val="21"/>
          <w:szCs w:val="21"/>
          <w:highlight w:val="none"/>
          <w:lang w:eastAsia="zh-CN"/>
        </w:rPr>
        <w:t xml:space="preserve">                       的代理人：</w:t>
      </w:r>
      <w:r>
        <w:rPr>
          <w:rFonts w:hint="eastAsia"/>
          <w:color w:val="auto"/>
          <w:sz w:val="21"/>
          <w:szCs w:val="21"/>
          <w:highlight w:val="none"/>
          <w:u w:val="single"/>
          <w:lang w:eastAsia="zh-CN"/>
        </w:rPr>
        <w:t xml:space="preserve">（签字或盖章）     </w:t>
      </w:r>
    </w:p>
    <w:p w14:paraId="4A7D14A6">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开户银行：</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开户银行：</w:t>
      </w:r>
      <w:r>
        <w:rPr>
          <w:rFonts w:hint="eastAsia"/>
          <w:color w:val="auto"/>
          <w:sz w:val="21"/>
          <w:szCs w:val="21"/>
          <w:highlight w:val="none"/>
          <w:u w:val="single"/>
          <w:lang w:eastAsia="zh-CN"/>
        </w:rPr>
        <w:t xml:space="preserve">                   </w:t>
      </w:r>
    </w:p>
    <w:p w14:paraId="42BC2E4C">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账号：</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账号：</w:t>
      </w:r>
      <w:r>
        <w:rPr>
          <w:rFonts w:hint="eastAsia"/>
          <w:color w:val="auto"/>
          <w:sz w:val="21"/>
          <w:szCs w:val="21"/>
          <w:highlight w:val="none"/>
          <w:u w:val="single"/>
          <w:lang w:eastAsia="zh-CN"/>
        </w:rPr>
        <w:t xml:space="preserve">                       </w:t>
      </w:r>
    </w:p>
    <w:p w14:paraId="1DF2B072">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电话：</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电话：</w:t>
      </w:r>
      <w:r>
        <w:rPr>
          <w:rFonts w:hint="eastAsia"/>
          <w:color w:val="auto"/>
          <w:sz w:val="21"/>
          <w:szCs w:val="21"/>
          <w:highlight w:val="none"/>
          <w:u w:val="single"/>
          <w:lang w:eastAsia="zh-CN"/>
        </w:rPr>
        <w:t xml:space="preserve">                       </w:t>
      </w:r>
    </w:p>
    <w:p w14:paraId="6715AF61">
      <w:pPr>
        <w:shd w:val="clear"/>
        <w:adjustRightInd w:val="0"/>
        <w:snapToGrid w:val="0"/>
        <w:spacing w:line="500" w:lineRule="exact"/>
        <w:ind w:firstLine="415" w:firstLineChars="198"/>
        <w:rPr>
          <w:color w:val="auto"/>
          <w:sz w:val="21"/>
          <w:szCs w:val="21"/>
          <w:highlight w:val="none"/>
          <w:lang w:eastAsia="zh-CN"/>
        </w:rPr>
      </w:pPr>
      <w:r>
        <w:rPr>
          <w:rFonts w:hint="eastAsia"/>
          <w:color w:val="auto"/>
          <w:sz w:val="21"/>
          <w:szCs w:val="21"/>
          <w:highlight w:val="none"/>
          <w:lang w:eastAsia="zh-CN"/>
        </w:rPr>
        <w:t>传真：</w:t>
      </w:r>
      <w:r>
        <w:rPr>
          <w:rFonts w:hint="eastAsia"/>
          <w:color w:val="auto"/>
          <w:sz w:val="21"/>
          <w:szCs w:val="21"/>
          <w:highlight w:val="none"/>
          <w:u w:val="single"/>
          <w:lang w:eastAsia="zh-CN"/>
        </w:rPr>
        <w:t xml:space="preserve">                      </w:t>
      </w:r>
      <w:r>
        <w:rPr>
          <w:rFonts w:hint="eastAsia"/>
          <w:color w:val="auto"/>
          <w:sz w:val="21"/>
          <w:szCs w:val="21"/>
          <w:highlight w:val="none"/>
          <w:lang w:eastAsia="zh-CN"/>
        </w:rPr>
        <w:t xml:space="preserve">                      传真：</w:t>
      </w:r>
      <w:r>
        <w:rPr>
          <w:rFonts w:hint="eastAsia"/>
          <w:color w:val="auto"/>
          <w:sz w:val="21"/>
          <w:szCs w:val="21"/>
          <w:highlight w:val="none"/>
          <w:u w:val="single"/>
          <w:lang w:eastAsia="zh-CN"/>
        </w:rPr>
        <w:t xml:space="preserve">                       </w:t>
      </w:r>
    </w:p>
    <w:p w14:paraId="309C22F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078630"/>
    <w:multiLevelType w:val="singleLevel"/>
    <w:tmpl w:val="3107863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EE0D67"/>
    <w:rsid w:val="3FEE0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2025-05-22T01:09:00Z</dcterms:created>
  <dc:creator>ZBB</dc:creator>
  <cp:lastModifiedBy>ZBB</cp:lastModifiedBy>
  <dcterms:modified xsi:type="dcterms:W3CDTF">2025-05-22T01:09:54Z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311D76775994412FA5E98F9E78526045_11</vt:lpwstr>
  </property>
  <property fmtid="{D5CDD505-2E9C-101B-9397-08002B2CF9AE}" pid="4" name="KSOTemplateDocerSaveRecord">
    <vt:lpwstr>eyJoZGlkIjoiOTEyYzIzM2JjMDZhZTI1YTVkN2JmNzE3MWQ0NmNkMjgiLCJ1c2VySWQiOiIyNjQ2NDU1NDQifQ==</vt:lpwstr>
  </property>
</Properties>
</file>