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版本号：DYZB-2025-05-21-01920250522002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西安市雁塔区残疾人集中托养服务项目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DYZB-2025-05-21-019</w:t>
      </w:r>
      <w:r>
        <w:br/>
      </w:r>
      <w:r>
        <w:br/>
      </w:r>
      <w:r>
        <w:br/>
      </w:r>
    </w:p>
    <w:p>
      <w:pPr>
        <w:pStyle w:val="null3"/>
        <w:jc w:val="center"/>
        <w:outlineLvl w:val="2"/>
      </w:pPr>
      <w:r>
        <w:rPr>
          <w:rFonts w:ascii="仿宋_GB2312" w:hAnsi="仿宋_GB2312" w:cs="仿宋_GB2312" w:eastAsia="仿宋_GB2312"/>
          <w:sz w:val="28"/>
          <w:b/>
        </w:rPr>
        <w:t>西安市雁塔区残疾人联合会</w:t>
      </w:r>
    </w:p>
    <w:p>
      <w:pPr>
        <w:pStyle w:val="null3"/>
        <w:jc w:val="center"/>
        <w:outlineLvl w:val="2"/>
      </w:pPr>
      <w:r>
        <w:rPr>
          <w:rFonts w:ascii="仿宋_GB2312" w:hAnsi="仿宋_GB2312" w:cs="仿宋_GB2312" w:eastAsia="仿宋_GB2312"/>
          <w:sz w:val="28"/>
          <w:b/>
        </w:rPr>
        <w:t>德煜项目管理有限公司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德煜项目管理有限公司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西安市雁塔区残疾人联合会</w:t>
      </w:r>
      <w:r>
        <w:rPr>
          <w:rFonts w:ascii="仿宋_GB2312" w:hAnsi="仿宋_GB2312" w:cs="仿宋_GB2312" w:eastAsia="仿宋_GB2312"/>
        </w:rPr>
        <w:t>委托，拟对</w:t>
      </w:r>
      <w:r>
        <w:rPr>
          <w:rFonts w:ascii="仿宋_GB2312" w:hAnsi="仿宋_GB2312" w:cs="仿宋_GB2312" w:eastAsia="仿宋_GB2312"/>
        </w:rPr>
        <w:t>西安市雁塔区残疾人集中托养服务项目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DYZB-2025-05-21-019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西安市雁塔区残疾人集中托养服务项目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西安市雁塔区残疾人集中托养服务项目；以政府购买服务的形式，采用 24 小时寄宿制集中居住和照料模式，为日常饮食起居需要专人护理而家庭护理有困难的智力、精神和重度肢体及多重残疾人提供专业化长期生活照料和日常护理服务。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2、法定代表人授权委托书：须提供法定代表人授权委托书及被授权人身份证复印件（法定代表人或单位负责人直接参与磋商的，须提供法定代表人证明书及法定代表人身份证复印件；</w:t>
      </w:r>
    </w:p>
    <w:p>
      <w:pPr>
        <w:pStyle w:val="null3"/>
      </w:pPr>
      <w:r>
        <w:rPr>
          <w:rFonts w:ascii="仿宋_GB2312" w:hAnsi="仿宋_GB2312" w:cs="仿宋_GB2312" w:eastAsia="仿宋_GB2312"/>
        </w:rPr>
        <w:t>3、财务状况报告：提供2023年度或2024年度经审计的财务报告（成立时间至提交投标文件截止时间不足一年的可提供成立后任意时段的资产负债表），或提交投标截止之日前近六个月内银行出具的资信证明及基本账户信息，或信用担保机构出具的投标担保函，或承诺书（以上四种形式的资料提供任何一种即可）；其他组织和自然人提供银行出具的资信证明及基本账户信息或财务报表或承诺书；</w:t>
      </w:r>
    </w:p>
    <w:p>
      <w:pPr>
        <w:pStyle w:val="null3"/>
      </w:pPr>
      <w:r>
        <w:rPr>
          <w:rFonts w:ascii="仿宋_GB2312" w:hAnsi="仿宋_GB2312" w:cs="仿宋_GB2312" w:eastAsia="仿宋_GB2312"/>
        </w:rPr>
        <w:t>4、税收缴纳证明：提供2024年6月至响应文件递交截止时间前已缴纳的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5、社会保障资金缴纳证明：提供2024年6月至响应文件递交截止时间前已缴纳的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6、书面声明（声明）：（1）提供具有履行本合同所必需的设备和专业技术能力的声明；（2）提供参加政府采购活动前3年内在经营活动中没有重大违法记录的书面声明；</w:t>
      </w:r>
    </w:p>
    <w:p>
      <w:pPr>
        <w:pStyle w:val="null3"/>
      </w:pPr>
      <w:r>
        <w:rPr>
          <w:rFonts w:ascii="仿宋_GB2312" w:hAnsi="仿宋_GB2312" w:cs="仿宋_GB2312" w:eastAsia="仿宋_GB2312"/>
        </w:rPr>
        <w:t>7、信用信息：供应商不得为“信用中国”网站（www.creditchina.gov.cn）中列入“失信被执行人”和“重大税收违法失信主体”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 本项目不接受联合体投标 ：本项目不接受联合体投标，须提供非联合体声明或承诺；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029-85503976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德煜项目管理有限公司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陕西省西安市碑林区长安北路南稍门十字东南角大话南门1幢1单元19层11908室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刘倩云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19829629613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采购后管理股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路杨</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029-85504027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国家发改委办公厅颁发的《关于招标代理服务收费有关问题的通知》（发改办价格〔2003〕857号）文件有关规定标准计取，不足6000.00元，以固定金额6000.00元计取；具体收费金额将在成交公告中公布。招标代理服务费由中标/成交供应商在领取成交通知书之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西安市雁塔区残疾人联合会</w:t>
      </w:r>
      <w:r>
        <w:rPr>
          <w:rFonts w:ascii="仿宋_GB2312" w:hAnsi="仿宋_GB2312" w:cs="仿宋_GB2312" w:eastAsia="仿宋_GB2312"/>
        </w:rPr>
        <w:t>和</w:t>
      </w:r>
      <w:r>
        <w:rPr>
          <w:rFonts w:ascii="仿宋_GB2312" w:hAnsi="仿宋_GB2312" w:cs="仿宋_GB2312" w:eastAsia="仿宋_GB2312"/>
        </w:rPr>
        <w:t>德煜项目管理有限公司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德煜项目管理有限公司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德煜项目管理有限公司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按照竞争性磋商文件要求与达到现行的国家行业标准，符合西安市雁塔区残疾人联合会西安市雁塔区财政局关于印发《西安市雁塔区残疾人托养服务工作实施方案》的通知雁残发〔2025〕8 号文件精神。</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德煜项目管理有限公司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德煜项目管理有限公司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德煜项目管理有限公司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联系人：刘倩云</w:t>
      </w:r>
    </w:p>
    <w:p>
      <w:pPr>
        <w:pStyle w:val="null3"/>
      </w:pPr>
      <w:r>
        <w:rPr>
          <w:rFonts w:ascii="仿宋_GB2312" w:hAnsi="仿宋_GB2312" w:cs="仿宋_GB2312" w:eastAsia="仿宋_GB2312"/>
        </w:rPr>
        <w:t>联系电话：19829629613</w:t>
      </w:r>
    </w:p>
    <w:p>
      <w:pPr>
        <w:pStyle w:val="null3"/>
      </w:pPr>
      <w:r>
        <w:rPr>
          <w:rFonts w:ascii="仿宋_GB2312" w:hAnsi="仿宋_GB2312" w:cs="仿宋_GB2312" w:eastAsia="仿宋_GB2312"/>
        </w:rPr>
        <w:t>地址：陕西省西安市碑林区长安北路南稍门十字东南角大话南门1幢1单元19层11908室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西安市雁塔区残疾人集中托养服务项目；以政府购买服务的形式，采用 24 小时寄宿制集中居住和照料模式，为日常饮食起居需要专人护理而家庭护理有困难的智力、精神和重度肢体及多重残疾人提供专业化长期生活照料和日常护理服务。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288,000.00</w:t>
      </w:r>
    </w:p>
    <w:p>
      <w:pPr>
        <w:pStyle w:val="null3"/>
      </w:pPr>
      <w:r>
        <w:rPr>
          <w:rFonts w:ascii="仿宋_GB2312" w:hAnsi="仿宋_GB2312" w:cs="仿宋_GB2312" w:eastAsia="仿宋_GB2312"/>
        </w:rPr>
        <w:t>采购包最高限价（元）: 288,000.00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西安市雁塔区残疾人集中托养服务项目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标的名称：西安市雁塔区残疾人集中托养服务项目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b/>
                <w:color w:val="000000"/>
              </w:rPr>
              <w:t>一、服务对象</w:t>
            </w:r>
          </w:p>
          <w:p>
            <w:pPr>
              <w:pStyle w:val="null3"/>
              <w:ind w:firstLine="440"/>
              <w:jc w:val="left"/>
            </w:pPr>
            <w:r>
              <w:rPr>
                <w:rFonts w:ascii="仿宋_GB2312" w:hAnsi="仿宋_GB2312" w:cs="仿宋_GB2312" w:eastAsia="仿宋_GB2312"/>
                <w:sz w:val="22"/>
                <w:color w:val="000000"/>
              </w:rPr>
              <w:t>具有雁塔区户籍、年龄</w:t>
            </w:r>
            <w:r>
              <w:rPr>
                <w:rFonts w:ascii="仿宋_GB2312" w:hAnsi="仿宋_GB2312" w:cs="仿宋_GB2312" w:eastAsia="仿宋_GB2312"/>
                <w:sz w:val="22"/>
                <w:color w:val="000000"/>
              </w:rPr>
              <w:t>16-59(＜60)周岁持中华人民共和国残疾人证，有托养服务需求的智力残疾人、稳定期的精神残疾人（指精神障碍已经在精神专科确诊并得到治疗，急性期症状已被控制，目前处于较稳定的状态，并经精神科医师风险评估可以转介托养的精神残疾人）、重度肢体残疾人以及同时存在智力或精神残疾的多重残疾人。纳入特困人员救助供养条件的残疾人不作为托养服务对象。</w:t>
            </w:r>
          </w:p>
          <w:p>
            <w:pPr>
              <w:pStyle w:val="null3"/>
              <w:jc w:val="left"/>
            </w:pPr>
            <w:r>
              <w:rPr>
                <w:rFonts w:ascii="仿宋_GB2312" w:hAnsi="仿宋_GB2312" w:cs="仿宋_GB2312" w:eastAsia="仿宋_GB2312"/>
                <w:sz w:val="22"/>
                <w:b/>
                <w:color w:val="000000"/>
              </w:rPr>
              <w:t>二、服务类型及服务内容</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1）服务类型：集中托养服务。按照《就业年龄段智力、精神及重度肢体残疾人托养服务规范（GB/T 37516—2019）》《政府购买残疾人托养服务技术标准与规范》《残疾人服务机构管理办法》（陕民函〔2018〕95 号）和《关于进一步推动政府购买助残服务的实施意见》（陕残联发〔2021〕1 号）等有关规定，采取以政府购买服务的形式，采用 24 小时寄宿制集中居住和照料模式，为日常饮食起居需要专人护理而家庭护理有困难的智力、精神和重度肢体及多重残疾人提供专业化长期生活照料和日常护理服务。</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2）服务内容：为残疾人提供生活照料和护理；生活自理能力训练；社会适应能力辅导；职业康复和劳动技能训练；运动功能训练。</w:t>
            </w:r>
          </w:p>
          <w:p>
            <w:pPr>
              <w:pStyle w:val="null3"/>
              <w:jc w:val="left"/>
            </w:pPr>
            <w:r>
              <w:rPr>
                <w:rFonts w:ascii="仿宋_GB2312" w:hAnsi="仿宋_GB2312" w:cs="仿宋_GB2312" w:eastAsia="仿宋_GB2312"/>
                <w:sz w:val="22"/>
                <w:b/>
                <w:color w:val="000000"/>
              </w:rPr>
              <w:t>三、补助标准</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1）对符合寄宿制集中托养服务条件并接受服务的残疾人采取政府购买服务的形式，每服务 3 个月为 1 人次，每人次购买标准 6000 元。个别服务对象确需长期服务的，按具体服务的时间确定人次。</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2）每月托养 20 天（含 20 天）以上的按 1 个月补助，10 天（含 10 天）以上按 80%补助，10 天以下不予补助。残疾人托养服务机构撤销或托养服务对象退出的，自撤销和退出当月起停拨托养补助资金。</w:t>
            </w:r>
          </w:p>
          <w:p>
            <w:pPr>
              <w:pStyle w:val="null3"/>
              <w:jc w:val="left"/>
            </w:pPr>
            <w:r>
              <w:rPr>
                <w:rFonts w:ascii="仿宋_GB2312" w:hAnsi="仿宋_GB2312" w:cs="仿宋_GB2312" w:eastAsia="仿宋_GB2312"/>
                <w:sz w:val="22"/>
                <w:b/>
                <w:color w:val="000000"/>
              </w:rPr>
              <w:t>四、工作任务</w:t>
            </w:r>
          </w:p>
          <w:p>
            <w:pPr>
              <w:pStyle w:val="null3"/>
              <w:ind w:firstLine="440"/>
              <w:jc w:val="left"/>
            </w:pPr>
            <w:r>
              <w:rPr>
                <w:rFonts w:ascii="仿宋_GB2312" w:hAnsi="仿宋_GB2312" w:cs="仿宋_GB2312" w:eastAsia="仿宋_GB2312"/>
                <w:sz w:val="22"/>
                <w:color w:val="000000"/>
              </w:rPr>
              <w:t>西安市雁塔区残疾人集中托养服务项目服务人数为</w:t>
            </w:r>
            <w:r>
              <w:rPr>
                <w:rFonts w:ascii="仿宋_GB2312" w:hAnsi="仿宋_GB2312" w:cs="仿宋_GB2312" w:eastAsia="仿宋_GB2312"/>
                <w:sz w:val="22"/>
                <w:color w:val="000000"/>
              </w:rPr>
              <w:t>12人。</w:t>
            </w:r>
          </w:p>
          <w:p>
            <w:pPr>
              <w:pStyle w:val="null3"/>
              <w:jc w:val="left"/>
            </w:pPr>
            <w:r>
              <w:rPr>
                <w:rFonts w:ascii="仿宋_GB2312" w:hAnsi="仿宋_GB2312" w:cs="仿宋_GB2312" w:eastAsia="仿宋_GB2312"/>
                <w:sz w:val="22"/>
                <w:b/>
                <w:color w:val="000000"/>
              </w:rPr>
              <w:t>五、服务期限</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自合同签订之日起一年。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满足本项目要求。集中托养机构应当配备专业管理人员、专职或兼职专业技术人员和能满足服务需求的工勤人员；从业人员应持有身份证明、健康证明、对需持证上岗的岗位，应按照有关法律法规规定持有有效的从业资格和职业资格证书；每年参加1次以上相关专业培训。集中托养机构服务人员与服务对象比例不低于1:7。</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满足本项目要求。集中托养机构服务场所应装有空调或其他适用的取暖、降温设备，提供全天候热水供应；配备照明设备，公共区域设置应急照明灯；配备养护起居、护理保健和文体活动等基本设施，设备完好；配备远程监控安全管理和互联网云考勤管理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按照竞争性磋商文件要求与达到现行的国家行业标准，符合西安市雁塔区残疾人联合会西安市雁塔区财政局关于印发《西安市雁塔区残疾人托养服务工作实施方案》的通知雁残发〔2025〕8 号文件精神。</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支付方式：分期付款；第1个季度（自合同签订之日起第1个月至第3个月），根据实际情况，乙方提供已完成项目数量清单及全额发票，甲方支付约定金额至乙方账户；累计支付金额不得超出预算 ，据实核算 ，达到付款条件起 7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支付方式:分期付款; 第2个季度（自合同签订之日起第4个月至第6个月），根据实际情况，乙方提供已完成项目数量清单及全额发票，甲方支付约定金额至乙方账户；累计支付金额不得超出预算 ，据实核算 ，达到付款条件起 7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支付方式:分期付款; 第3个季度（自合同签订之日起第7个月至第9个月），根据实际情况，乙方提供已完成项目数量清单及全额发票，甲方支付约定金额至乙方账户；累计支付金额不得超出预算 ，据实核算 ，达到付款条件起 7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支付方式:分期付款; 第4个季度（自合同签订之日起第10个月至第12个月），根据实际情况，乙方提供已完成项目数量清单及全额发票，甲方支付约定金额至乙方账户；累计支付金额不得超出预算，据实核算 ，达到付款条件起 7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解决争议的方法：1、在执行本合同中发生的或与本合同有关的争端，双方应通过友好协商解决，经协商在XX天内不能达成协议时，则采取以下第2种方式解决争议：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须提供法定代表人授权委托书及被授权人身份证复印件（法定代表人或单位负责人直接参与磋商的，须提供法定代表人证明书及法定代表人身份证复印件；</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投标截止之日前近六个月内银行出具的资信证明及基本账户信息，或信用担保机构出具的投标担保函，或承诺书（以上四种形式的资料提供任何一种即可）；其他组织和自然人提供银行出具的资信证明及基本账户信息或财务报表或承诺书；</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响应文件递交截止时间前已缴纳的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响应文件递交截止时间前已缴纳的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书面声明（声明）</w:t>
            </w:r>
          </w:p>
        </w:tc>
        <w:tc>
          <w:tcPr>
            <w:tcW w:type="dxa" w:w="3322"/>
          </w:tcPr>
          <w:p>
            <w:pPr>
              <w:pStyle w:val="null3"/>
            </w:pPr>
            <w:r>
              <w:rPr>
                <w:rFonts w:ascii="仿宋_GB2312" w:hAnsi="仿宋_GB2312" w:cs="仿宋_GB2312" w:eastAsia="仿宋_GB2312"/>
              </w:rPr>
              <w:t>（1）提供具有履行本合同所必需的设备和专业技术能力的声明；（2）提供参加政府采购活动前3年内在经营活动中没有重大违法记录的书面声明；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本项目不接受联合体投标</w:t>
            </w:r>
          </w:p>
        </w:tc>
        <w:tc>
          <w:tcPr>
            <w:tcW w:type="dxa" w:w="3322"/>
          </w:tcPr>
          <w:p>
            <w:pPr>
              <w:pStyle w:val="null3"/>
            </w:pPr>
            <w:r>
              <w:rPr>
                <w:rFonts w:ascii="仿宋_GB2312" w:hAnsi="仿宋_GB2312" w:cs="仿宋_GB2312" w:eastAsia="仿宋_GB2312"/>
              </w:rPr>
              <w:t>本项目不接受联合体投标，须提供非联合体声明或承诺；</w:t>
            </w:r>
          </w:p>
        </w:tc>
        <w:tc>
          <w:tcPr>
            <w:tcW w:type="dxa" w:w="1661"/>
          </w:tcPr>
          <w:p>
            <w:pPr>
              <w:pStyle w:val="null3"/>
            </w:pPr>
            <w:r>
              <w:rPr>
                <w:rFonts w:ascii="仿宋_GB2312" w:hAnsi="仿宋_GB2312" w:cs="仿宋_GB2312" w:eastAsia="仿宋_GB2312"/>
              </w:rPr>
              <w:t>响应文件封面 资格证明部分.pdf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商务技术部分.pdf 资格证明部分.pdf 残疾人福利性单位声明函 中小企业声明函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项目背景以及需求分析</w:t>
            </w:r>
          </w:p>
        </w:tc>
        <w:tc>
          <w:tcPr>
            <w:tcW w:type="dxa" w:w="2492"/>
          </w:tcPr>
          <w:p>
            <w:pPr>
              <w:pStyle w:val="null3"/>
            </w:pPr>
            <w:r>
              <w:rPr>
                <w:rFonts w:ascii="仿宋_GB2312" w:hAnsi="仿宋_GB2312" w:cs="仿宋_GB2312" w:eastAsia="仿宋_GB2312"/>
              </w:rPr>
              <w:t>项目背景以及需求分析: 对项目背景以及需求定位合理，描述清晰，且能针对性满足项目需求的得10分； 对项目背景以及需求定位合理，但陈述简单，缺乏针对性的得7分； 对项目背景以及需求定位理解笼统的得3分；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生活照料和护理； 生活自理能力训练；社会适应能力辅导服务方案</w:t>
            </w:r>
          </w:p>
        </w:tc>
        <w:tc>
          <w:tcPr>
            <w:tcW w:type="dxa" w:w="2492"/>
          </w:tcPr>
          <w:p>
            <w:pPr>
              <w:pStyle w:val="null3"/>
            </w:pPr>
            <w:r>
              <w:rPr>
                <w:rFonts w:ascii="仿宋_GB2312" w:hAnsi="仿宋_GB2312" w:cs="仿宋_GB2312" w:eastAsia="仿宋_GB2312"/>
              </w:rPr>
              <w:t>生活照料和护理； 生活自理能力训练；社会适应能力辅导服务方案：服务方案总体构想科学合理，描述清晰，且能针对性满足项目需求的得15分； 服务方案总体构想合理，但陈述简单，缺乏针对性的得10分； 服务方案总体构想笼统的得6分；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职业康复和劳动技能训练；运动功能训练服务方案</w:t>
            </w:r>
          </w:p>
        </w:tc>
        <w:tc>
          <w:tcPr>
            <w:tcW w:type="dxa" w:w="2492"/>
          </w:tcPr>
          <w:p>
            <w:pPr>
              <w:pStyle w:val="null3"/>
            </w:pPr>
            <w:r>
              <w:rPr>
                <w:rFonts w:ascii="仿宋_GB2312" w:hAnsi="仿宋_GB2312" w:cs="仿宋_GB2312" w:eastAsia="仿宋_GB2312"/>
              </w:rPr>
              <w:t>职业康复和劳动技能训练；运动功能训练服务方案：服务方案总体构想科学合理，描述清晰，且能针对性满足项目需求的得13分； 服务方案总体构想合理，但陈述简单，缺乏针对性的得10分；服务方案总体构想笼统的得5分； 未提供得0分。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专业设施设备</w:t>
            </w:r>
          </w:p>
        </w:tc>
        <w:tc>
          <w:tcPr>
            <w:tcW w:type="dxa" w:w="2492"/>
          </w:tcPr>
          <w:p>
            <w:pPr>
              <w:pStyle w:val="null3"/>
            </w:pPr>
            <w:r>
              <w:rPr>
                <w:rFonts w:ascii="仿宋_GB2312" w:hAnsi="仿宋_GB2312" w:cs="仿宋_GB2312" w:eastAsia="仿宋_GB2312"/>
              </w:rPr>
              <w:t>专业设施设备：具有完成本次集中托养服务的专业设施设备，设施设备配置科学合理，描述清晰，且能针对性满足项目需求的得5分；具有完成本次集中托养服务的专业设施设备，设施设备配置合理，但陈述简单，缺乏针对性的得3分；具有完成本次集中托养服务的专业设施设备，设施设备配置笼统的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安全保证措施：由于服务对象的特殊性提供服务安全保证措施，科学合理，描述清晰，且能针对性满足项目需求的得10分； 安全保证措施合理，但陈述简单，缺乏针对性的得6分； 安全保证措施笼统的得3分；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服务质量保证措施：服务质量保证措施科学合理，描述清晰，且能针对性满足项目需求的得10分； 质量保证措施合理，但陈述简单，缺乏针对性的得6分； 质量保证措施笼统的得3分；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根据本项目特点针对服务人员的管理及考核办法</w:t>
            </w:r>
          </w:p>
        </w:tc>
        <w:tc>
          <w:tcPr>
            <w:tcW w:type="dxa" w:w="2492"/>
          </w:tcPr>
          <w:p>
            <w:pPr>
              <w:pStyle w:val="null3"/>
            </w:pPr>
            <w:r>
              <w:rPr>
                <w:rFonts w:ascii="仿宋_GB2312" w:hAnsi="仿宋_GB2312" w:cs="仿宋_GB2312" w:eastAsia="仿宋_GB2312"/>
              </w:rPr>
              <w:t>根据本项目特点针对服务人员的管理及考核办法：管理及考核方案科学合理，描述清晰，且能针对性满足项目需求的得10分； 管理及考核方案合理，但陈述简单，缺乏针对性的得6分； 管理及考核方案笼统的得3分；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项目团队人员配备方案</w:t>
            </w:r>
          </w:p>
        </w:tc>
        <w:tc>
          <w:tcPr>
            <w:tcW w:type="dxa" w:w="2492"/>
          </w:tcPr>
          <w:p>
            <w:pPr>
              <w:pStyle w:val="null3"/>
            </w:pPr>
            <w:r>
              <w:rPr>
                <w:rFonts w:ascii="仿宋_GB2312" w:hAnsi="仿宋_GB2312" w:cs="仿宋_GB2312" w:eastAsia="仿宋_GB2312"/>
              </w:rPr>
              <w:t>项目团队人员配备方案：项目团队人员配备方案科学合理，描述清晰，且能针对性满足项目需求的得10分； 项目团队人员配备方案合理，但陈述简单，缺乏针对性的得6分； 项目团队人员配备方案笼统的得3分；未提供得0分。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商务技术部分.pdf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供应商提供2021年1月1日至今类似项目业绩，业绩以合同或中标( 成交）通知书为依据（具体时间以合同签订时间为准），每提供一个业绩计2分；满分6分；未提供得0分。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经营场所</w:t>
            </w:r>
          </w:p>
        </w:tc>
        <w:tc>
          <w:tcPr>
            <w:tcW w:type="dxa" w:w="2492"/>
          </w:tcPr>
          <w:p>
            <w:pPr>
              <w:pStyle w:val="null3"/>
            </w:pPr>
            <w:r>
              <w:rPr>
                <w:rFonts w:ascii="仿宋_GB2312" w:hAnsi="仿宋_GB2312" w:cs="仿宋_GB2312" w:eastAsia="仿宋_GB2312"/>
              </w:rPr>
              <w:t>为方便雁塔区残疾人提供生活照料和护理；生活自理能力训练；社会适应能力辅导；职业康复和劳动技能训练；运动功能训练等服务，供应商经营场所为西安市雁塔区范围内的得1分，其他地区不得分。提供房屋租赁合同或房产证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财库〔2020〕46号文件的规定，采用低价优先法计算，以本次满足磋商文件要求的最终最低评审价为磋商基准价，其磋商报价为满分。其他供应商的价格分，统一按照下列公式计算： 磋商评审价=磋商最后报价×（1-磋商报价扣除幅度 ），磋商报价得分=(磋商基准价／磋商评审价)×10 ；（2）供应商报价扣除幅度如下：供应商提供的服务全部为小微企业提供的，给予磋商报价扣除10% 优惠政策，只要有大中型企业提供服务情形的，就不得享受价格扣除优惠政策。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商务技术部分.pdf</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响应文件封面 商务技术部分.pdf 中小企业声明函 残疾人福利性单位声明函 标的清单 报价表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详见附件：商务技术部分.pdf</w:t>
      </w:r>
    </w:p>
    <w:p>
      <w:pPr>
        <w:pStyle w:val="null3"/>
        <w:ind w:firstLine="960"/>
      </w:pPr>
      <w:r>
        <w:rPr>
          <w:rFonts w:ascii="仿宋_GB2312" w:hAnsi="仿宋_GB2312" w:cs="仿宋_GB2312" w:eastAsia="仿宋_GB2312"/>
        </w:rPr>
        <w:t>详见附件：资格证明部分.pdf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 （集中托养）.docx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